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5694d1_8k.htm"/>
      <w:bookmarkStart w:id="1" w:name="kstm2625694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916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16,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A_edei--EntityFileNumber_c20260916"/>
            <w:bookmarkEnd w:id="6"/>
            <w:r>
              <w:rPr>
                <w:b/>
              </w:rPr>
              <w:t>001-37759</w:t>
            </w:r>
          </w:p>
        </w:tc>
        <w:tc>
          <w:tcPr>
            <w:tcW w:w="3335" w:type="dxa"/>
            <w:tcBorders/>
            <w:vAlign w:val="center"/>
          </w:tcPr>
          <w:p>
            <w:pPr>
              <w:pStyle w:val="TableContents"/>
              <w:bidi w:val="0"/>
              <w:spacing w:before="0" w:after="283"/>
              <w:jc w:val="center"/>
              <w:rPr>
                <w:b/>
              </w:rPr>
            </w:pPr>
            <w:bookmarkStart w:id="7" w:name="xdx_903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111 S. Wood Avenue,</w:t>
            </w:r>
            <w:r>
              <w:rPr>
                <w:rFonts w:ascii="Times New Roman;Times;Serif" w:hAnsi="Times New Roman;Times;Serif"/>
                <w:b w:val="false"/>
                <w:i w:val="false"/>
                <w:caps w:val="false"/>
                <w:smallCaps w:val="false"/>
                <w:sz w:val="20"/>
              </w:rPr>
              <w:t xml:space="preserve"> </w:t>
            </w:r>
            <w:bookmarkStart w:id="9" w:name="xdx_90D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Iselin, </w:t>
            </w:r>
            <w:bookmarkStart w:id="11" w:name="xdx_901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C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0916__20"/>
      <w:bookmarkEnd w:id="13"/>
      <w:r>
        <w:rPr>
          <w:rFonts w:ascii="Times New Roman;Times;Serif" w:hAnsi="Times New Roman;Times;Serif"/>
          <w:b/>
          <w:i w:val="false"/>
          <w:caps w:val="false"/>
          <w:smallCaps w:val="false"/>
          <w:sz w:val="20"/>
        </w:rPr>
        <w:t xml:space="preserve">609) </w:t>
      </w:r>
      <w:bookmarkStart w:id="14" w:name="xdx_90E_edei--LocalPhoneNumber_c20260916"/>
      <w:bookmarkEnd w:id="14"/>
      <w:r>
        <w:rPr>
          <w:rFonts w:ascii="Times New Roman;Times;Serif" w:hAnsi="Times New Roman;Times;Serif"/>
          <w:b/>
          <w:i w:val="false"/>
          <w:caps w:val="false"/>
          <w:smallCaps w:val="false"/>
          <w:sz w:val="20"/>
        </w:rPr>
        <w:t>619-3990</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F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4_edei--SolicitingMaterial_c202609"/>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F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1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940"/>
        <w:gridCol w:w="60"/>
        <w:gridCol w:w="1925"/>
        <w:gridCol w:w="60"/>
        <w:gridCol w:w="3050"/>
      </w:tblGrid>
      <w:tr>
        <w:trPr/>
        <w:tc>
          <w:tcPr>
            <w:tcW w:w="194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5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 xml:space="preserve">Name of Each Exchange </w:t>
              <w:br/>
              <w:t>on Which Registered</w:t>
            </w:r>
          </w:p>
        </w:tc>
      </w:tr>
      <w:tr>
        <w:trPr/>
        <w:tc>
          <w:tcPr>
            <w:tcW w:w="1940" w:type="dxa"/>
            <w:tcBorders/>
            <w:tcMar>
              <w:bottom w:w="0" w:type="dxa"/>
            </w:tcMar>
            <w:vAlign w:val="center"/>
          </w:tcPr>
          <w:p>
            <w:pPr>
              <w:pStyle w:val="TableContents"/>
              <w:bidi w:val="0"/>
              <w:spacing w:before="0" w:after="283"/>
              <w:jc w:val="center"/>
              <w:rPr/>
            </w:pPr>
            <w:bookmarkStart w:id="19" w:name="xdx_902_edei--Security12bTitle_c20260916"/>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20" w:name="xdx_907_edei--TradingSymbol_c20260916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050" w:type="dxa"/>
            <w:tcBorders/>
            <w:tcMar>
              <w:bottom w:w="0" w:type="dxa"/>
            </w:tcMar>
            <w:vAlign w:val="center"/>
          </w:tcPr>
          <w:p>
            <w:pPr>
              <w:pStyle w:val="TableContents"/>
              <w:bidi w:val="0"/>
              <w:spacing w:before="0" w:after="283"/>
              <w:jc w:val="center"/>
              <w:rPr/>
            </w:pPr>
            <w:bookmarkStart w:id="21" w:name="xdx_90A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Outlook Therapeutics, Inc. established the wholesale acquisition cost for LYTENAVA™ in the United States of $485 per vial.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3350"/>
        <w:gridCol w:w="60"/>
        <w:gridCol w:w="387"/>
        <w:gridCol w:w="2377"/>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Date: September 18, 2026              </w:t>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By:</w:t>
            </w:r>
          </w:p>
        </w:tc>
        <w:tc>
          <w:tcPr>
            <w:tcW w:w="2377" w:type="dxa"/>
            <w:tcBorders>
              <w:bottom w:val="single" w:sz="8" w:space="0" w:color="000000"/>
            </w:tcBorders>
            <w:tcMar>
              <w:bottom w:w="28" w:type="dxa"/>
            </w:tcMar>
            <w:vAlign w:val="center"/>
          </w:tcPr>
          <w:p>
            <w:pPr>
              <w:pStyle w:val="TableContents"/>
              <w:bidi w:val="0"/>
              <w:spacing w:before="0" w:after="283"/>
              <w:jc w:val="left"/>
              <w:rPr/>
            </w:pPr>
            <w:r>
              <w:rPr/>
              <w:t>/s/ Kevin Lundquist</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pPr>
            <w:r>
              <w:rPr/>
              <w:t>Kevin Lundquist</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361</Words>
  <Characters>2000</Characters>
  <CharactersWithSpaces>2397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