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Outlook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Empery Asset Management,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21,247,856.00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21,247,856.00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21,247,856.00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8.73 %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Ryan M. Lane</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21,247,856.00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21,247,856.00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21,247,856.00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8.73 %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Outlook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111 S. Wood Avenue, Unit #100, Iselin, NJ 08830</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entities and persons listed below, who are collectively referred to herein as "Reporting Persons," with respect to Common Stock, $0.01 par value per share (the "Common Stock") of Outlook Therapeutics, Inc., a Delaware corporation (the "Company"): (i) Empery Asset Management, LP (the "Investment Manager"), with respect to the Common Stock held by funds to which the Investment Manager serves as investment manager (the "Empery Funds"); and (ii) Mr. Ryan M. Lane ("Mr. Lane"), with respect to the Common Stock held by the Empery Funds. The Investment Manager serves as the investment manager to each of the Empery Funds. Mr. Lane (the "Reporting Individual") is the managing member of a limited liability company that is the managing member of Empery AM GP, LLC (the "General Partner"), the general partner of the Investment Manager.</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1 Rockefeller Plaza, Suite 1205 New York, New York 10020</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Citizenship: </w:t>
            </w:r>
          </w:p>
          <w:p>
            <w:pPr>
              <w:pStyle w:val="TableContents"/>
              <w:bidi w:val="0"/>
              <w:spacing w:before="0" w:after="0"/>
              <w:jc w:val="left"/>
              <w:rPr/>
            </w:pPr>
            <w:r>
              <w:rPr/>
              <w:t>Citizenship is set forth in Row 4 of the cover page for each Reporting Person hereto and is incorporated herein by reference for each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(g)</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(h)</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(j)</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(k)</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9050" w:type="dxa"/>
            <w:gridSpan w:val="2"/>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243,447,554 shares of Common Stock outstanding as of August 14, 2026, as reported in the Company's Quarterly Report on Form 10-Q filed with the Securities and Exchange Commission on August 18, 2026. The Investment Manager, which serves as the investment manager to the Empery Funds, may be deemed to be the beneficial owner of all of the shares of Common Stock held by the Empery Funds. The Reporting Individual, as the managing member of a limited liability company that is the managing member of the General Partner of the Investment Manager with the power to exercise investment discretion, may be deemed to be the beneficial owner of all of the shares of Common Stock held by the Empery Funds. The foregoing should not be construed in and of itself as an admission by any Reporting Person as to beneficial ownership of the shares of Common Stock owned by another Reporting Person. Each of the Empery Funds and the Reporting Individual hereby disclaims any beneficial ownership of any such Common Stock.</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8.73%  %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8.</w:t>
            </w:r>
          </w:p>
        </w:tc>
        <w:tc>
          <w:tcPr>
            <w:tcW w:w="889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9.</w:t>
            </w:r>
          </w:p>
        </w:tc>
        <w:tc>
          <w:tcPr>
            <w:tcW w:w="889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36" w:type="dxa"/>
        <w:jc w:val="left"/>
        <w:tblInd w:w="0" w:type="dxa"/>
        <w:tblLayout w:type="fixed"/>
        <w:tblCellMar>
          <w:top w:w="28" w:type="dxa"/>
          <w:left w:w="28" w:type="dxa"/>
          <w:bottom w:w="28" w:type="dxa"/>
          <w:right w:w="28" w:type="dxa"/>
        </w:tblCellMar>
      </w:tblPr>
      <w:tblGrid>
        <w:gridCol w:w="3318"/>
        <w:gridCol w:w="3318"/>
      </w:tblGrid>
      <w:tr>
        <w:trPr/>
        <w:tc>
          <w:tcPr>
            <w:tcW w:w="3318" w:type="dxa"/>
            <w:tcBorders/>
            <w:vAlign w:val="center"/>
          </w:tcPr>
          <w:p>
            <w:pPr>
              <w:pStyle w:val="TableContents"/>
              <w:bidi w:val="0"/>
              <w:spacing w:before="0" w:after="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0"/>
                    <w:jc w:val="left"/>
                    <w:rPr/>
                  </w:pPr>
                  <w:r>
                    <w:rPr/>
                    <w:t>Empery Asset Management, LP</w:t>
                  </w:r>
                </w:p>
              </w:tc>
            </w:tr>
          </w:tbl>
          <w:p>
            <w:pPr>
              <w:pStyle w:val="TableContents"/>
              <w:bidi w:val="0"/>
              <w:spacing w:before="0" w:after="283"/>
              <w:jc w:val="left"/>
              <w:rPr/>
            </w:pPr>
            <w:r>
              <w:rPr/>
            </w:r>
          </w:p>
        </w:tc>
        <w:tc>
          <w:tcPr>
            <w:tcW w:w="33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Ryan M. Lane</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Ryan M. Lane,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3334" w:type="dxa"/>
        <w:jc w:val="left"/>
        <w:tblInd w:w="0" w:type="dxa"/>
        <w:tblLayout w:type="fixed"/>
        <w:tblCellMar>
          <w:top w:w="28" w:type="dxa"/>
          <w:left w:w="28" w:type="dxa"/>
          <w:bottom w:w="28" w:type="dxa"/>
          <w:right w:w="28" w:type="dxa"/>
        </w:tblCellMar>
      </w:tblPr>
      <w:tblGrid>
        <w:gridCol w:w="1667"/>
        <w:gridCol w:w="1667"/>
      </w:tblGrid>
      <w:tr>
        <w:trPr/>
        <w:tc>
          <w:tcPr>
            <w:tcW w:w="1667" w:type="dxa"/>
            <w:tcBorders/>
            <w:vAlign w:val="center"/>
          </w:tcPr>
          <w:p>
            <w:pPr>
              <w:pStyle w:val="TableContents"/>
              <w:bidi w:val="0"/>
              <w:spacing w:before="0" w:after="0"/>
              <w:jc w:val="left"/>
              <w:rPr/>
            </w:pPr>
            <w:r>
              <w:rPr/>
              <w:t> </w:t>
            </w:r>
          </w:p>
          <w:tbl>
            <w:tblPr>
              <w:tblW w:w="1546" w:type="dxa"/>
              <w:jc w:val="left"/>
              <w:tblInd w:w="0" w:type="dxa"/>
              <w:tblLayout w:type="fixed"/>
              <w:tblCellMar>
                <w:top w:w="28" w:type="dxa"/>
                <w:left w:w="28" w:type="dxa"/>
                <w:bottom w:w="28" w:type="dxa"/>
                <w:right w:w="28" w:type="dxa"/>
              </w:tblCellMar>
            </w:tblPr>
            <w:tblGrid>
              <w:gridCol w:w="1546"/>
            </w:tblGrid>
            <w:tr>
              <w:trPr/>
              <w:tc>
                <w:tcPr>
                  <w:tcW w:w="1546" w:type="dxa"/>
                  <w:tcBorders/>
                  <w:vAlign w:val="center"/>
                </w:tcPr>
                <w:p>
                  <w:pPr>
                    <w:pStyle w:val="TableContents"/>
                    <w:bidi w:val="0"/>
                    <w:spacing w:before="0" w:after="0"/>
                    <w:jc w:val="left"/>
                    <w:rPr/>
                  </w:pPr>
                  <w:r>
                    <w:rPr/>
                    <w:t>Ryan M. Lane</w:t>
                  </w:r>
                </w:p>
              </w:tc>
            </w:tr>
          </w:tbl>
          <w:p>
            <w:pPr>
              <w:pStyle w:val="TableContents"/>
              <w:bidi w:val="0"/>
              <w:spacing w:before="0" w:after="283"/>
              <w:jc w:val="left"/>
              <w:rPr/>
            </w:pPr>
            <w:r>
              <w:rPr/>
            </w:r>
          </w:p>
        </w:tc>
        <w:tc>
          <w:tcPr>
            <w:tcW w:w="16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09"/>
        <w:gridCol w:w="4496"/>
      </w:tblGrid>
      <w:tr>
        <w:trPr/>
        <w:tc>
          <w:tcPr>
            <w:tcW w:w="57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Ryan M. Lane</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Ryan M. Lane, individually</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496"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Joint Filing Agreement</w:t>
            </w:r>
          </w:p>
        </w:tc>
      </w:tr>
    </w:tbl>
    <w:p>
      <w:pPr>
        <w:pStyle w:val="TextBody"/>
        <w:bidi w:val="0"/>
        <w:spacing w:before="0" w:after="240"/>
        <w:jc w:val="center"/>
        <w:rPr>
          <w:rFonts w:ascii="Times New Roman;Times;Serif" w:hAnsi="Times New Roman;Times;Serif"/>
          <w:b/>
          <w:i w:val="false"/>
          <w:caps w:val="false"/>
          <w:smallCaps w:val="false"/>
          <w:sz w:val="22"/>
        </w:rPr>
      </w:pPr>
      <w:bookmarkStart w:id="20" w:name="p15111223exh_99-1.htm"/>
      <w:bookmarkStart w:id="21" w:name="ksp15111223exh_991"/>
      <w:bookmarkEnd w:id="20"/>
      <w:bookmarkEnd w:id="21"/>
      <w:r>
        <w:rPr>
          <w:rFonts w:ascii="Times New Roman;Times;Serif" w:hAnsi="Times New Roman;Times;Serif"/>
          <w:b/>
          <w:i w:val="false"/>
          <w:caps w:val="false"/>
          <w:smallCaps w:val="false"/>
          <w:sz w:val="22"/>
        </w:rPr>
        <w:t>EXHIBIT 99.1</w:t>
      </w:r>
      <w:r>
        <w:br w:type="page"/>
      </w:r>
    </w:p>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JOINT ACQUISITION STATEMENT</w:t>
        <w:br/>
        <w:t>PURSUANT TO RULE 13d-1(k)</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DATED: 10/13/2026</w:t>
      </w:r>
    </w:p>
    <w:tbl>
      <w:tblPr>
        <w:tblW w:w="4340" w:type="dxa"/>
        <w:jc w:val="left"/>
        <w:tblInd w:w="0" w:type="dxa"/>
        <w:tblLayout w:type="fixed"/>
        <w:tblCellMar>
          <w:top w:w="0" w:type="dxa"/>
          <w:left w:w="0" w:type="dxa"/>
          <w:bottom w:w="0" w:type="dxa"/>
          <w:right w:w="0" w:type="dxa"/>
        </w:tblCellMar>
      </w:tblPr>
      <w:tblGrid>
        <w:gridCol w:w="4265"/>
        <w:gridCol w:w="75"/>
      </w:tblGrid>
      <w:tr>
        <w:trPr/>
        <w:tc>
          <w:tcPr>
            <w:tcW w:w="42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both"/>
              <w:rPr/>
            </w:pPr>
            <w:r>
              <w:rPr/>
              <w:t>EMPERY ASSET MANAGEMENT, LP</w:t>
            </w:r>
          </w:p>
        </w:tc>
        <w:tc>
          <w:tcPr>
            <w:tcW w:w="75" w:type="dxa"/>
            <w:tcBorders/>
            <w:vAlign w:val="center"/>
          </w:tcPr>
          <w:p>
            <w:pPr>
              <w:pStyle w:val="TableContents"/>
              <w:bidi w:val="0"/>
              <w:spacing w:before="0" w:after="283"/>
              <w:jc w:val="both"/>
              <w:rPr/>
            </w:pPr>
            <w:r>
              <w:rPr/>
              <w:t> </w:t>
            </w:r>
          </w:p>
        </w:tc>
      </w:tr>
      <w:tr>
        <w:trPr/>
        <w:tc>
          <w:tcPr>
            <w:tcW w:w="426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426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4265" w:type="dxa"/>
            <w:tcBorders/>
            <w:vAlign w:val="center"/>
          </w:tcPr>
          <w:p>
            <w:pPr>
              <w:pStyle w:val="TableContents"/>
              <w:bidi w:val="0"/>
              <w:spacing w:before="0" w:after="283"/>
              <w:jc w:val="both"/>
              <w:rPr/>
            </w:pPr>
            <w:r>
              <w:rPr/>
              <w:t>By:  </w:t>
            </w:r>
            <w:r>
              <w:rPr>
                <w:u w:val="single"/>
              </w:rPr>
              <w:t>  /s/ Ryan M. Lane                                 </w:t>
            </w:r>
          </w:p>
        </w:tc>
        <w:tc>
          <w:tcPr>
            <w:tcW w:w="75" w:type="dxa"/>
            <w:tcBorders/>
            <w:vAlign w:val="center"/>
          </w:tcPr>
          <w:p>
            <w:pPr>
              <w:pStyle w:val="TableContents"/>
              <w:bidi w:val="0"/>
              <w:spacing w:before="0" w:after="283"/>
              <w:jc w:val="both"/>
              <w:rPr/>
            </w:pPr>
            <w:r>
              <w:rPr/>
              <w:t> </w:t>
            </w:r>
          </w:p>
        </w:tc>
      </w:tr>
      <w:tr>
        <w:trPr/>
        <w:tc>
          <w:tcPr>
            <w:tcW w:w="4265" w:type="dxa"/>
            <w:tcBorders/>
            <w:vAlign w:val="center"/>
          </w:tcPr>
          <w:p>
            <w:pPr>
              <w:pStyle w:val="TableContents"/>
              <w:bidi w:val="0"/>
              <w:spacing w:before="0" w:after="283"/>
              <w:jc w:val="both"/>
              <w:rPr/>
            </w:pPr>
            <w:r>
              <w:rPr/>
              <w:t>Name:  Ryan M. Lane</w:t>
            </w:r>
          </w:p>
        </w:tc>
        <w:tc>
          <w:tcPr>
            <w:tcW w:w="75" w:type="dxa"/>
            <w:tcBorders/>
            <w:vAlign w:val="center"/>
          </w:tcPr>
          <w:p>
            <w:pPr>
              <w:pStyle w:val="TableContents"/>
              <w:bidi w:val="0"/>
              <w:spacing w:before="0" w:after="283"/>
              <w:jc w:val="both"/>
              <w:rPr/>
            </w:pPr>
            <w:r>
              <w:rPr/>
              <w:t> </w:t>
            </w:r>
          </w:p>
        </w:tc>
      </w:tr>
      <w:tr>
        <w:trPr/>
        <w:tc>
          <w:tcPr>
            <w:tcW w:w="4265" w:type="dxa"/>
            <w:tcBorders/>
            <w:vAlign w:val="center"/>
          </w:tcPr>
          <w:p>
            <w:pPr>
              <w:pStyle w:val="TableContents"/>
              <w:bidi w:val="0"/>
              <w:spacing w:before="0" w:after="283"/>
              <w:jc w:val="both"/>
              <w:rPr/>
            </w:pPr>
            <w:r>
              <w:rPr/>
              <w:t>Title:  Authorized Signatory</w:t>
            </w:r>
          </w:p>
        </w:tc>
        <w:tc>
          <w:tcPr>
            <w:tcW w:w="75" w:type="dxa"/>
            <w:tcBorders/>
            <w:vAlign w:val="center"/>
          </w:tcPr>
          <w:p>
            <w:pPr>
              <w:pStyle w:val="TableContents"/>
              <w:bidi w:val="0"/>
              <w:spacing w:before="0" w:after="283"/>
              <w:jc w:val="both"/>
              <w:rPr/>
            </w:pPr>
            <w:r>
              <w:rPr/>
              <w:t> </w:t>
            </w:r>
          </w:p>
        </w:tc>
      </w:tr>
      <w:tr>
        <w:trPr/>
        <w:tc>
          <w:tcPr>
            <w:tcW w:w="426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4265" w:type="dxa"/>
            <w:tcBorders/>
            <w:vAlign w:val="center"/>
          </w:tcPr>
          <w:p>
            <w:pPr>
              <w:pStyle w:val="TableContents"/>
              <w:bidi w:val="0"/>
              <w:spacing w:before="0" w:after="283"/>
              <w:jc w:val="both"/>
              <w:rPr>
                <w:u w:val="single"/>
              </w:rPr>
            </w:pPr>
            <w:r>
              <w:rPr>
                <w:u w:val="single"/>
              </w:rPr>
              <w:t>  </w:t>
            </w:r>
            <w:r>
              <w:rPr>
                <w:u w:val="single"/>
              </w:rPr>
              <w:t>/s/ Ryan M. Lane                                         </w:t>
            </w:r>
          </w:p>
        </w:tc>
        <w:tc>
          <w:tcPr>
            <w:tcW w:w="75" w:type="dxa"/>
            <w:tcBorders/>
            <w:vAlign w:val="center"/>
          </w:tcPr>
          <w:p>
            <w:pPr>
              <w:pStyle w:val="TableContents"/>
              <w:bidi w:val="0"/>
              <w:spacing w:before="0" w:after="283"/>
              <w:jc w:val="both"/>
              <w:rPr/>
            </w:pPr>
            <w:r>
              <w:rPr/>
              <w:t> </w:t>
            </w:r>
          </w:p>
        </w:tc>
      </w:tr>
      <w:tr>
        <w:trPr/>
        <w:tc>
          <w:tcPr>
            <w:tcW w:w="4265" w:type="dxa"/>
            <w:tcBorders/>
            <w:vAlign w:val="center"/>
          </w:tcPr>
          <w:p>
            <w:pPr>
              <w:pStyle w:val="TableContents"/>
              <w:bidi w:val="0"/>
              <w:spacing w:before="0" w:after="283"/>
              <w:jc w:val="both"/>
              <w:rPr/>
            </w:pPr>
            <w:r>
              <w:rPr/>
              <w:t>RYAN M. LANE</w:t>
            </w:r>
          </w:p>
        </w:tc>
        <w:tc>
          <w:tcPr>
            <w:tcW w:w="75" w:type="dxa"/>
            <w:tcBorders/>
            <w:vAlign w:val="center"/>
          </w:tcPr>
          <w:p>
            <w:pPr>
              <w:pStyle w:val="TableContents"/>
              <w:bidi w:val="0"/>
              <w:spacing w:before="0" w:after="283"/>
              <w:jc w:val="both"/>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1612</Words>
  <Characters>8138</Characters>
  <CharactersWithSpaces>9805</CharactersWithSpaces>
  <Paragraphs>234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