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22026_080957.xml.htm"/>
      <w:bookmarkStart w:id="1" w:name="ksform409022026_0809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Lundquist Kevin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SOUTH WOOD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ISELIN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Outlook Therapeutics, Inc.</w:t>
              </w:r>
            </w:hyperlink>
            <w:r>
              <w:rPr/>
              <w:t xml:space="preserve"> [ </w:t>
            </w:r>
            <w:r>
              <w:rPr>
                <w:rFonts w:ascii="Times;serif" w:hAnsi="Times;serif"/>
                <w:color w:val="0000FF"/>
                <w:sz w:val="24"/>
                <w:shd w:fill="FFFFFF" w:val="clear"/>
              </w:rPr>
              <w:t>OTLK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was granted by Outlook Therapeutics, Inc. (the "Issuer") as an inducement material to the Reporting Person's entry into employment with the Issuer in accordance with Nasdaq Listing Rule 5635(c)(4). 25% of the shares subject to the option shall vest on September 1, 2027, with the remaining shares vesting in equal monthly installments over the following three years thereafter, subject to the Reporting Person's continuous service with the Issuer on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Couture,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4701" TargetMode="External"/><Relationship Id="rId5" Type="http://schemas.openxmlformats.org/officeDocument/2006/relationships/hyperlink" Target="http://www.sec.gov/cgi-bin/browse-edgar?action=getcompany&amp;CIK=000164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3550</Characters>
  <CharactersWithSpaces>4127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