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center"/>
        <w:rPr>
          <w:bdr w:val="single" w:sz="16" w:space="1" w:color="000000"/>
        </w:rPr>
      </w:pPr>
      <w:bookmarkStart w:id="0" w:name="tm2620677d1_8k.htm"/>
      <w:bookmarkStart w:id="1" w:name="kstm2620677d1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E_edei--DocumentType_c20260716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jc w:val="center"/>
        <w:rPr>
          <w:rFonts w:ascii="Times New Roman;Times;Serif" w:hAnsi="Times New Roman;Times;Serif"/>
          <w:b w:val="false"/>
          <w:i w:val="false"/>
          <w:caps w:val="false"/>
          <w:smallCaps w:val="false"/>
          <w:sz w:val="26"/>
        </w:rPr>
      </w:pPr>
      <w:r>
        <w:rPr>
          <w:rFonts w:ascii="Times New Roman;Times;Serif" w:hAnsi="Times New Roman;Times;Serif"/>
          <w:b/>
          <w:i w:val="false"/>
          <w:caps w:val="false"/>
          <w:smallCaps w:val="false"/>
          <w:sz w:val="26"/>
        </w:rPr>
        <w:t xml:space="preserve">Pursuant to Section 13 or 15(d) of </w:t>
        <w:br/>
        <w:t>The Securities Exchange Act of 1934</w:t>
      </w:r>
      <w:r>
        <w:rPr>
          <w:rFonts w:ascii="Times New Roman;Times;Serif" w:hAnsi="Times New Roman;Times;Serif"/>
          <w:b w:val="false"/>
          <w:i w:val="false"/>
          <w:caps w:val="false"/>
          <w:smallCaps w:val="false"/>
          <w:sz w:val="26"/>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16,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Outlook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2480"/>
        <w:gridCol w:w="2675"/>
        <w:gridCol w:w="3335"/>
      </w:tblGrid>
      <w:tr>
        <w:trPr/>
        <w:tc>
          <w:tcPr>
            <w:tcW w:w="2480" w:type="dxa"/>
            <w:tcBorders/>
            <w:vAlign w:val="center"/>
          </w:tcPr>
          <w:p>
            <w:pPr>
              <w:pStyle w:val="TableContents"/>
              <w:bidi w:val="0"/>
              <w:spacing w:before="0" w:after="283"/>
              <w:jc w:val="center"/>
              <w:rPr>
                <w:b/>
              </w:rPr>
            </w:pPr>
            <w:bookmarkStart w:id="5" w:name="xdx_907_edei--EntityIncorporationStateCo"/>
            <w:bookmarkEnd w:id="5"/>
            <w:r>
              <w:rPr>
                <w:b/>
              </w:rPr>
              <w:t>Delaware</w:t>
            </w:r>
          </w:p>
        </w:tc>
        <w:tc>
          <w:tcPr>
            <w:tcW w:w="2675" w:type="dxa"/>
            <w:tcBorders/>
            <w:vAlign w:val="center"/>
          </w:tcPr>
          <w:p>
            <w:pPr>
              <w:pStyle w:val="TableContents"/>
              <w:bidi w:val="0"/>
              <w:spacing w:before="0" w:after="283"/>
              <w:jc w:val="center"/>
              <w:rPr>
                <w:b/>
              </w:rPr>
            </w:pPr>
            <w:bookmarkStart w:id="6" w:name="xdx_90F_edei--EntityFileNumber_c20260716"/>
            <w:bookmarkEnd w:id="6"/>
            <w:r>
              <w:rPr>
                <w:b/>
              </w:rPr>
              <w:t>001-37759</w:t>
            </w:r>
          </w:p>
        </w:tc>
        <w:tc>
          <w:tcPr>
            <w:tcW w:w="3335" w:type="dxa"/>
            <w:tcBorders/>
            <w:vAlign w:val="center"/>
          </w:tcPr>
          <w:p>
            <w:pPr>
              <w:pStyle w:val="TableContents"/>
              <w:bidi w:val="0"/>
              <w:spacing w:before="0" w:after="283"/>
              <w:jc w:val="center"/>
              <w:rPr>
                <w:b/>
              </w:rPr>
            </w:pPr>
            <w:bookmarkStart w:id="7" w:name="xdx_90E_edei--EntityTaxIdentificationNum"/>
            <w:bookmarkEnd w:id="7"/>
            <w:r>
              <w:rPr>
                <w:b/>
              </w:rPr>
              <w:t>38-3982704</w:t>
            </w:r>
          </w:p>
        </w:tc>
      </w:tr>
      <w:tr>
        <w:trPr/>
        <w:tc>
          <w:tcPr>
            <w:tcW w:w="2480" w:type="dxa"/>
            <w:tcBorders/>
            <w:vAlign w:val="center"/>
          </w:tcPr>
          <w:p>
            <w:pPr>
              <w:pStyle w:val="TableContents"/>
              <w:bidi w:val="0"/>
              <w:spacing w:before="0" w:after="283"/>
              <w:jc w:val="center"/>
              <w:rPr/>
            </w:pPr>
            <w:r>
              <w:rPr/>
              <w:t>(State or other jurisdiction</w:t>
              <w:br/>
              <w:t xml:space="preserve">of incorporation) </w:t>
            </w:r>
          </w:p>
        </w:tc>
        <w:tc>
          <w:tcPr>
            <w:tcW w:w="2675" w:type="dxa"/>
            <w:tcBorders/>
            <w:vAlign w:val="center"/>
          </w:tcPr>
          <w:p>
            <w:pPr>
              <w:pStyle w:val="TableContents"/>
              <w:bidi w:val="0"/>
              <w:spacing w:before="0" w:after="283"/>
              <w:jc w:val="center"/>
              <w:rPr/>
            </w:pPr>
            <w:r>
              <w:rPr/>
              <w:t xml:space="preserve">(Commission File Number) </w:t>
            </w:r>
          </w:p>
        </w:tc>
        <w:tc>
          <w:tcPr>
            <w:tcW w:w="3335" w:type="dxa"/>
            <w:tcBorders/>
            <w:vAlign w:val="center"/>
          </w:tcPr>
          <w:p>
            <w:pPr>
              <w:pStyle w:val="TableContents"/>
              <w:bidi w:val="0"/>
              <w:spacing w:before="0" w:after="283"/>
              <w:jc w:val="center"/>
              <w:rPr/>
            </w:pPr>
            <w:r>
              <w:rPr/>
              <w:t xml:space="preserve">(IRS Employer Identification No.) </w:t>
            </w:r>
          </w:p>
        </w:tc>
      </w:tr>
    </w:tbl>
    <w:p>
      <w:pPr>
        <w:pStyle w:val="TextBody"/>
        <w:bidi w:val="0"/>
        <w:spacing w:before="0" w:after="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15"/>
        <w:gridCol w:w="1145"/>
      </w:tblGrid>
      <w:tr>
        <w:trPr/>
        <w:tc>
          <w:tcPr>
            <w:tcW w:w="38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111 S. Wood Avenue</w:t>
            </w:r>
          </w:p>
          <w:p>
            <w:pPr>
              <w:pStyle w:val="TableContents"/>
              <w:bidi w:val="0"/>
              <w:spacing w:before="0" w:after="0"/>
              <w:jc w:val="center"/>
              <w:rPr>
                <w:rFonts w:ascii="Times New Roman;Times;Serif" w:hAnsi="Times New Roman;Times;Serif"/>
                <w:b/>
                <w:i w:val="false"/>
                <w:caps w:val="false"/>
                <w:smallCaps w:val="false"/>
                <w:sz w:val="20"/>
              </w:rPr>
            </w:pPr>
            <w:bookmarkStart w:id="9" w:name="xdx_906_edei--EntityAddressAddressLine2_"/>
            <w:bookmarkEnd w:id="9"/>
            <w:r>
              <w:rPr>
                <w:rFonts w:ascii="Times New Roman;Times;Serif" w:hAnsi="Times New Roman;Times;Serif"/>
                <w:b/>
                <w:i w:val="false"/>
                <w:caps w:val="false"/>
                <w:smallCaps w:val="false"/>
                <w:sz w:val="20"/>
              </w:rPr>
              <w:t>Unit #100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Iselin, </w:t>
            </w:r>
            <w:bookmarkStart w:id="11" w:name="xdx_905_edei--EntityAddressStateOrProvin"/>
            <w:bookmarkEnd w:id="11"/>
            <w:r>
              <w:rPr>
                <w:rFonts w:ascii="Times New Roman;Times;Serif" w:hAnsi="Times New Roman;Times;Serif"/>
                <w:b/>
                <w:i w:val="false"/>
                <w:caps w:val="false"/>
                <w:smallCaps w:val="false"/>
                <w:sz w:val="20"/>
              </w:rPr>
              <w:t>New Jersey</w:t>
            </w:r>
          </w:p>
        </w:tc>
        <w:tc>
          <w:tcPr>
            <w:tcW w:w="1145" w:type="dxa"/>
            <w:tcBorders/>
            <w:vAlign w:val="center"/>
          </w:tcPr>
          <w:p>
            <w:pPr>
              <w:pStyle w:val="TableContents"/>
              <w:bidi w:val="0"/>
              <w:spacing w:before="0" w:after="283"/>
              <w:jc w:val="center"/>
              <w:rPr>
                <w:b/>
              </w:rPr>
            </w:pPr>
            <w:bookmarkStart w:id="12" w:name="xdx_908_edei--EntityAddressPostalZipCode"/>
            <w:bookmarkEnd w:id="12"/>
            <w:r>
              <w:rPr>
                <w:b/>
              </w:rPr>
              <w:t>08830</w:t>
            </w:r>
          </w:p>
        </w:tc>
      </w:tr>
      <w:tr>
        <w:trPr/>
        <w:tc>
          <w:tcPr>
            <w:tcW w:w="3815" w:type="dxa"/>
            <w:tcBorders/>
            <w:vAlign w:val="center"/>
          </w:tcPr>
          <w:p>
            <w:pPr>
              <w:pStyle w:val="TableContents"/>
              <w:bidi w:val="0"/>
              <w:spacing w:before="0" w:after="283"/>
              <w:jc w:val="center"/>
              <w:rPr/>
            </w:pPr>
            <w:r>
              <w:rPr/>
              <w:t xml:space="preserve">(Address of principal executive offices) </w:t>
            </w:r>
          </w:p>
        </w:tc>
        <w:tc>
          <w:tcPr>
            <w:tcW w:w="1145" w:type="dxa"/>
            <w:tcBorders/>
            <w:vAlign w:val="center"/>
          </w:tcPr>
          <w:p>
            <w:pPr>
              <w:pStyle w:val="TableContents"/>
              <w:bidi w:val="0"/>
              <w:spacing w:before="0" w:after="283"/>
              <w:jc w:val="center"/>
              <w:rPr/>
            </w:pPr>
            <w:r>
              <w:rPr/>
              <w:t xml:space="preserve">(Zip Code)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7_edei--CityAreaCode_c20260716__20"/>
      <w:bookmarkEnd w:id="13"/>
      <w:r>
        <w:rPr>
          <w:rFonts w:ascii="Times New Roman;Times;Serif" w:hAnsi="Times New Roman;Times;Serif"/>
          <w:b/>
          <w:i w:val="false"/>
          <w:caps w:val="false"/>
          <w:smallCaps w:val="false"/>
          <w:sz w:val="20"/>
        </w:rPr>
        <w:t xml:space="preserve">609) </w:t>
      </w:r>
      <w:bookmarkStart w:id="14" w:name="xdx_90F_edei--LocalPhoneNumber_c20260716"/>
      <w:bookmarkEnd w:id="14"/>
      <w:r>
        <w:rPr>
          <w:rFonts w:ascii="Times New Roman;Times;Serif" w:hAnsi="Times New Roman;Times;Serif"/>
          <w:b/>
          <w:i w:val="false"/>
          <w:caps w:val="false"/>
          <w:smallCaps w:val="false"/>
          <w:sz w:val="20"/>
        </w:rPr>
        <w:t>619-3990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u w:val="single"/>
        </w:rPr>
      </w:pPr>
      <w:r>
        <w:rPr>
          <w:caps w:val="false"/>
          <w:smallCaps w:val="false"/>
          <w:u w:val="singl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bookmarkStart w:id="15" w:name="xdx_904_edei--WrittenCommunications_c202"/>
            <w:bookmarkEnd w:id="15"/>
            <w:r>
              <w:rPr/>
              <w:t xml:space="preserve">☐ </w:t>
            </w:r>
          </w:p>
        </w:tc>
        <w:tc>
          <w:tcPr>
            <w:tcW w:w="9906"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6" w:name="xdx_908_edei--SolicitingMaterial_c202607"/>
            <w:bookmarkEnd w:id="16"/>
            <w:r>
              <w:rPr/>
              <w:t xml:space="preserve">☐ </w:t>
            </w:r>
          </w:p>
        </w:tc>
        <w:tc>
          <w:tcPr>
            <w:tcW w:w="9906"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7" w:name="xdx_90B_edei--PreCommencementTenderOffer"/>
            <w:bookmarkEnd w:id="17"/>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8" w:name="xdx_907_edei--PreCommencementIssuerTende"/>
            <w:bookmarkEnd w:id="18"/>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1835"/>
        <w:gridCol w:w="60"/>
        <w:gridCol w:w="1805"/>
        <w:gridCol w:w="60"/>
        <w:gridCol w:w="3395"/>
      </w:tblGrid>
      <w:tr>
        <w:trPr/>
        <w:tc>
          <w:tcPr>
            <w:tcW w:w="1835" w:type="dxa"/>
            <w:tcBorders>
              <w:bottom w:val="single" w:sz="8" w:space="0" w:color="000000"/>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05" w:type="dxa"/>
            <w:tcBorders>
              <w:bottom w:val="single" w:sz="8" w:space="0" w:color="000000"/>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395" w:type="dxa"/>
            <w:tcBorders>
              <w:bottom w:val="single" w:sz="8" w:space="0" w:color="000000"/>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Name of Each Exchange on Which</w:t>
              <w:br/>
              <w:t>Registered</w:t>
            </w:r>
          </w:p>
        </w:tc>
      </w:tr>
      <w:tr>
        <w:trPr/>
        <w:tc>
          <w:tcPr>
            <w:tcW w:w="1835" w:type="dxa"/>
            <w:tcBorders/>
            <w:tcMar>
              <w:bottom w:w="0" w:type="dxa"/>
            </w:tcMar>
            <w:vAlign w:val="center"/>
          </w:tcPr>
          <w:p>
            <w:pPr>
              <w:pStyle w:val="TableContents"/>
              <w:bidi w:val="0"/>
              <w:spacing w:before="0" w:after="283"/>
              <w:jc w:val="center"/>
              <w:rPr/>
            </w:pPr>
            <w:bookmarkStart w:id="19" w:name="xdx_904_edei--Security12bTitle_c20260716"/>
            <w:bookmarkEnd w:id="19"/>
            <w:r>
              <w:rPr/>
              <w:t>Common Stock</w:t>
            </w:r>
          </w:p>
        </w:tc>
        <w:tc>
          <w:tcPr>
            <w:tcW w:w="60" w:type="dxa"/>
            <w:tcBorders/>
            <w:tcMar>
              <w:bottom w:w="0" w:type="dxa"/>
            </w:tcMar>
            <w:vAlign w:val="center"/>
          </w:tcPr>
          <w:p>
            <w:pPr>
              <w:pStyle w:val="TableContents"/>
              <w:bidi w:val="0"/>
              <w:spacing w:before="0" w:after="283"/>
              <w:jc w:val="center"/>
              <w:rPr/>
            </w:pPr>
            <w:r>
              <w:rPr/>
              <w:t> </w:t>
            </w:r>
          </w:p>
        </w:tc>
        <w:tc>
          <w:tcPr>
            <w:tcW w:w="1805" w:type="dxa"/>
            <w:tcBorders/>
            <w:tcMar>
              <w:bottom w:w="0" w:type="dxa"/>
            </w:tcMar>
            <w:vAlign w:val="center"/>
          </w:tcPr>
          <w:p>
            <w:pPr>
              <w:pStyle w:val="TableContents"/>
              <w:bidi w:val="0"/>
              <w:spacing w:before="0" w:after="283"/>
              <w:jc w:val="center"/>
              <w:rPr/>
            </w:pPr>
            <w:bookmarkStart w:id="20" w:name="xdx_901_edei--TradingSymbol_c20260716__2"/>
            <w:bookmarkEnd w:id="20"/>
            <w:r>
              <w:rPr/>
              <w:t>OTLK</w:t>
            </w:r>
          </w:p>
        </w:tc>
        <w:tc>
          <w:tcPr>
            <w:tcW w:w="60" w:type="dxa"/>
            <w:tcBorders/>
            <w:tcMar>
              <w:bottom w:w="0" w:type="dxa"/>
            </w:tcMar>
            <w:vAlign w:val="center"/>
          </w:tcPr>
          <w:p>
            <w:pPr>
              <w:pStyle w:val="TableContents"/>
              <w:bidi w:val="0"/>
              <w:spacing w:before="0" w:after="283"/>
              <w:jc w:val="center"/>
              <w:rPr/>
            </w:pPr>
            <w:r>
              <w:rPr/>
              <w:t> </w:t>
            </w:r>
          </w:p>
        </w:tc>
        <w:tc>
          <w:tcPr>
            <w:tcW w:w="3395" w:type="dxa"/>
            <w:tcBorders/>
            <w:tcMar>
              <w:bottom w:w="0" w:type="dxa"/>
            </w:tcMar>
            <w:vAlign w:val="center"/>
          </w:tcPr>
          <w:p>
            <w:pPr>
              <w:pStyle w:val="TableContents"/>
              <w:bidi w:val="0"/>
              <w:spacing w:before="0" w:after="283"/>
              <w:jc w:val="center"/>
              <w:rPr/>
            </w:pPr>
            <w:bookmarkStart w:id="21" w:name="xdx_907_edei--SecurityExchangeName_c2026"/>
            <w:bookmarkEnd w:id="21"/>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830"/>
        <w:gridCol w:w="6380"/>
      </w:tblGrid>
      <w:tr>
        <w:trPr/>
        <w:tc>
          <w:tcPr>
            <w:tcW w:w="830" w:type="dxa"/>
            <w:tcBorders/>
            <w:vAlign w:val="center"/>
          </w:tcPr>
          <w:p>
            <w:pPr>
              <w:pStyle w:val="TableContents"/>
              <w:bidi w:val="0"/>
              <w:spacing w:before="0" w:after="283"/>
              <w:jc w:val="left"/>
              <w:rPr>
                <w:b/>
                <w:sz w:val="20"/>
              </w:rPr>
            </w:pPr>
            <w:r>
              <w:rPr>
                <w:b/>
                <w:sz w:val="20"/>
              </w:rPr>
              <w:t>Item 5.03</w:t>
            </w:r>
          </w:p>
        </w:tc>
        <w:tc>
          <w:tcPr>
            <w:tcW w:w="6380" w:type="dxa"/>
            <w:tcBorders/>
            <w:vAlign w:val="center"/>
          </w:tcPr>
          <w:p>
            <w:pPr>
              <w:pStyle w:val="TableContents"/>
              <w:bidi w:val="0"/>
              <w:spacing w:before="0" w:after="283"/>
              <w:jc w:val="left"/>
              <w:rPr>
                <w:b/>
                <w:sz w:val="20"/>
                <w:shd w:fill="FFFFFF" w:val="clear"/>
              </w:rPr>
            </w:pPr>
            <w:r>
              <w:rPr>
                <w:b/>
                <w:sz w:val="20"/>
                <w:shd w:fill="FFFFFF" w:val="clear"/>
              </w:rPr>
              <w:t>Amendments to Articles of Incorporation or Bylaws; Change in Fiscal Year</w:t>
            </w:r>
          </w:p>
        </w:tc>
      </w:tr>
    </w:tbl>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O</w:t>
      </w:r>
      <w:r>
        <w:rPr>
          <w:rFonts w:ascii="Times New Roman;Times;Serif" w:hAnsi="Times New Roman;Times;Serif"/>
          <w:b w:val="false"/>
          <w:i w:val="false"/>
          <w:caps w:val="false"/>
          <w:smallCaps w:val="false"/>
          <w:sz w:val="20"/>
        </w:rPr>
        <w:t xml:space="preserve">n July 16, 2026, </w:t>
      </w:r>
      <w:r>
        <w:rPr>
          <w:rFonts w:ascii="Times New Roman;Times;Serif" w:hAnsi="Times New Roman;Times;Serif"/>
          <w:b w:val="false"/>
          <w:i w:val="false"/>
          <w:caps w:val="false"/>
          <w:smallCaps w:val="false"/>
          <w:color w:val="212529"/>
          <w:sz w:val="20"/>
        </w:rPr>
        <w:t>at a special meeting of stockholders (the “Special Meeting”) of Outlook Therapeutics, Inc. (the “Company”), the Company’s stockholders approved an amendment to the Company’s Restated Certificate of Incorporation to increase the authorized number of shares of the Company’s common stock from 260,000,000 to 600,000,000 shares. The increase in the authorized number of shares of the Company’s common stock was effected pursuant to a Certificate of Amendment of the Restated Certificate of Incorporation (the “Certificate of Amendment”) filed with the Secretary of State of the State of Delaware on July 16, 2026, effective as of such date. The foregoing description is qualified in its entirety by the Certificate of Amendment, which is attached as Exhibit 3.1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830"/>
        <w:gridCol w:w="4385"/>
      </w:tblGrid>
      <w:tr>
        <w:trPr/>
        <w:tc>
          <w:tcPr>
            <w:tcW w:w="830" w:type="dxa"/>
            <w:tcBorders/>
            <w:vAlign w:val="center"/>
          </w:tcPr>
          <w:p>
            <w:pPr>
              <w:pStyle w:val="TableContents"/>
              <w:bidi w:val="0"/>
              <w:spacing w:before="0" w:after="283"/>
              <w:jc w:val="left"/>
              <w:rPr>
                <w:b/>
                <w:sz w:val="20"/>
              </w:rPr>
            </w:pPr>
            <w:r>
              <w:rPr>
                <w:b/>
                <w:sz w:val="20"/>
              </w:rPr>
              <w:t>Item 5.07</w:t>
            </w:r>
          </w:p>
        </w:tc>
        <w:tc>
          <w:tcPr>
            <w:tcW w:w="4385" w:type="dxa"/>
            <w:tcBorders/>
            <w:vAlign w:val="center"/>
          </w:tcPr>
          <w:p>
            <w:pPr>
              <w:pStyle w:val="TableContents"/>
              <w:bidi w:val="0"/>
              <w:spacing w:before="0" w:after="283"/>
              <w:jc w:val="left"/>
              <w:rPr>
                <w:b/>
                <w:sz w:val="20"/>
              </w:rPr>
            </w:pPr>
            <w:r>
              <w:rPr>
                <w:b/>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the Company’s stockholders voted on three proposals, which are described in more detail in the </w:t>
      </w:r>
      <w:r>
        <w:rPr>
          <w:rFonts w:ascii="Times New Roman;Times;Serif" w:hAnsi="Times New Roman;Times;Serif"/>
          <w:b w:val="false"/>
          <w:i w:val="false"/>
          <w:caps w:val="false"/>
          <w:smallCaps w:val="false"/>
          <w:color w:val="212529"/>
          <w:sz w:val="20"/>
        </w:rPr>
        <w:t xml:space="preserve">Company’s definitive proxy statement on Schedule 14A for the Special Meeting, which was filed with the Securities and </w:t>
      </w:r>
      <w:r>
        <w:rPr>
          <w:rFonts w:ascii="Times New Roman;Times;Serif" w:hAnsi="Times New Roman;Times;Serif"/>
          <w:b w:val="false"/>
          <w:i w:val="false"/>
          <w:caps w:val="false"/>
          <w:smallCaps w:val="false"/>
          <w:sz w:val="20"/>
        </w:rPr>
        <w:t>Exchange Commission on June 1, 2026. Of the 120,863,252 shares of the Company’s common stock outstanding as of the record date, 62,303,960 shares, or approximately 51.5%, were present or represented by proxy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description of the matters voted upon and the certified results, including the number of votes cast for and against each matter, as well as the number of abstentions and broker non-votes with respect to each matter,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1(a).</w:t>
      </w:r>
      <w:r>
        <w:rPr>
          <w:rFonts w:ascii="Times New Roman;Times;Serif" w:hAnsi="Times New Roman;Times;Serif"/>
          <w:b w:val="false"/>
          <w:i w:val="false"/>
          <w:caps w:val="false"/>
          <w:smallCaps w:val="false"/>
          <w:sz w:val="20"/>
        </w:rPr>
        <w:t xml:space="preserve"> Stockholders approved the potential issuance of shares of the Company’s common stock underlying common warrants (the “Private Placement Warrants”) to purchase up to 16,129,033 shares of the Company’s common stock issued in April 2026 and (ii) placement agent warrants (the “Placement Agent Warrants”) to purchase up to an aggregate of 2,258,064 shares of the Company’s common stock, consisting of Placement Agent Warrants to purchase up to 1,129,032 shares of the Company’s common stock issued in April 2026 and Placement Agent Warrants to purchase up to 1,129,032 shares of the Company’s common stock that are issuable upon exercise of the Private Placement Warrants, in each case in connection with a registered direct offering of shares of the Company’s common stock and a concurrent private placement of accompanying warrants (the “Offering”).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28" w:type="dxa"/>
          <w:right w:w="0" w:type="dxa"/>
        </w:tblCellMar>
      </w:tblPr>
      <w:tblGrid>
        <w:gridCol w:w="75"/>
        <w:gridCol w:w="950"/>
        <w:gridCol w:w="60"/>
        <w:gridCol w:w="60"/>
        <w:gridCol w:w="77"/>
        <w:gridCol w:w="1097"/>
        <w:gridCol w:w="60"/>
        <w:gridCol w:w="60"/>
        <w:gridCol w:w="79"/>
        <w:gridCol w:w="916"/>
        <w:gridCol w:w="60"/>
        <w:gridCol w:w="60"/>
        <w:gridCol w:w="64"/>
        <w:gridCol w:w="1020"/>
        <w:gridCol w:w="75"/>
      </w:tblGrid>
      <w:tr>
        <w:trPr/>
        <w:tc>
          <w:tcPr>
            <w:tcW w:w="1025" w:type="dxa"/>
            <w:gridSpan w:val="2"/>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8" w:space="0" w:color="000000"/>
            </w:tcBorders>
            <w:vAlign w:val="center"/>
          </w:tcPr>
          <w:p>
            <w:pPr>
              <w:pStyle w:val="TableContents"/>
              <w:bidi w:val="0"/>
              <w:spacing w:before="0" w:after="283"/>
              <w:jc w:val="center"/>
              <w:rPr>
                <w:b/>
                <w:sz w:val="20"/>
              </w:rPr>
            </w:pPr>
            <w:r>
              <w:rPr>
                <w:b/>
                <w:sz w:val="20"/>
              </w:rPr>
              <w:t>Broker Non-</w:t>
              <w:br/>
              <w:t>Votes</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10,132,124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 w:type="dxa"/>
            <w:tcBorders/>
            <w:shd w:fill="CCEEFF" w:val="clear"/>
            <w:tcMar>
              <w:bottom w:w="0" w:type="dxa"/>
            </w:tcMar>
            <w:vAlign w:val="center"/>
          </w:tcPr>
          <w:p>
            <w:pPr>
              <w:pStyle w:val="TableContents"/>
              <w:bidi w:val="0"/>
              <w:spacing w:before="0" w:after="283"/>
              <w:jc w:val="center"/>
              <w:rPr/>
            </w:pPr>
            <w:r>
              <w:rPr/>
              <w:t> </w:t>
            </w:r>
          </w:p>
        </w:tc>
        <w:tc>
          <w:tcPr>
            <w:tcW w:w="1097" w:type="dxa"/>
            <w:tcBorders/>
            <w:shd w:fill="CCEEFF" w:val="clear"/>
            <w:tcMar>
              <w:bottom w:w="0" w:type="dxa"/>
            </w:tcMar>
            <w:vAlign w:val="center"/>
          </w:tcPr>
          <w:p>
            <w:pPr>
              <w:pStyle w:val="TableContents"/>
              <w:bidi w:val="0"/>
              <w:spacing w:before="0" w:after="283"/>
              <w:jc w:val="center"/>
              <w:rPr>
                <w:sz w:val="20"/>
              </w:rPr>
            </w:pPr>
            <w:r>
              <w:rPr>
                <w:sz w:val="20"/>
              </w:rPr>
              <w:t>6,556,719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9" w:type="dxa"/>
            <w:tcBorders/>
            <w:shd w:fill="CCEEFF" w:val="clear"/>
            <w:tcMar>
              <w:bottom w:w="0" w:type="dxa"/>
            </w:tcMar>
            <w:vAlign w:val="center"/>
          </w:tcPr>
          <w:p>
            <w:pPr>
              <w:pStyle w:val="TableContents"/>
              <w:bidi w:val="0"/>
              <w:spacing w:before="0" w:after="283"/>
              <w:jc w:val="center"/>
              <w:rPr/>
            </w:pPr>
            <w:r>
              <w:rPr/>
              <w:t> </w:t>
            </w:r>
          </w:p>
        </w:tc>
        <w:tc>
          <w:tcPr>
            <w:tcW w:w="916" w:type="dxa"/>
            <w:tcBorders/>
            <w:shd w:fill="CCEEFF" w:val="clear"/>
            <w:tcMar>
              <w:bottom w:w="0" w:type="dxa"/>
            </w:tcMar>
            <w:vAlign w:val="center"/>
          </w:tcPr>
          <w:p>
            <w:pPr>
              <w:pStyle w:val="TableContents"/>
              <w:bidi w:val="0"/>
              <w:spacing w:before="0" w:after="283"/>
              <w:jc w:val="center"/>
              <w:rPr>
                <w:sz w:val="20"/>
              </w:rPr>
            </w:pPr>
            <w:r>
              <w:rPr>
                <w:sz w:val="20"/>
              </w:rPr>
              <w:t>527,301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4" w:type="dxa"/>
            <w:tcBorders/>
            <w:shd w:fill="CCEEFF" w:val="clear"/>
            <w:tcMar>
              <w:bottom w:w="0" w:type="dxa"/>
            </w:tcMar>
            <w:vAlign w:val="center"/>
          </w:tcPr>
          <w:p>
            <w:pPr>
              <w:pStyle w:val="TableContents"/>
              <w:bidi w:val="0"/>
              <w:spacing w:before="0" w:after="283"/>
              <w:jc w:val="center"/>
              <w:rPr/>
            </w:pPr>
            <w:r>
              <w:rPr/>
              <w:t> </w:t>
            </w:r>
          </w:p>
        </w:tc>
        <w:tc>
          <w:tcPr>
            <w:tcW w:w="1020" w:type="dxa"/>
            <w:tcBorders/>
            <w:shd w:fill="CCEEFF" w:val="clear"/>
            <w:tcMar>
              <w:bottom w:w="0" w:type="dxa"/>
            </w:tcMar>
            <w:vAlign w:val="center"/>
          </w:tcPr>
          <w:p>
            <w:pPr>
              <w:pStyle w:val="TableContents"/>
              <w:bidi w:val="0"/>
              <w:spacing w:before="0" w:after="283"/>
              <w:jc w:val="center"/>
              <w:rPr>
                <w:sz w:val="20"/>
              </w:rPr>
            </w:pPr>
            <w:r>
              <w:rPr>
                <w:sz w:val="20"/>
              </w:rPr>
              <w:t>28,958,783</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1(b).</w:t>
      </w:r>
      <w:r>
        <w:rPr>
          <w:rFonts w:ascii="Times New Roman;Times;Serif" w:hAnsi="Times New Roman;Times;Serif"/>
          <w:b w:val="false"/>
          <w:i w:val="false"/>
          <w:caps w:val="false"/>
          <w:smallCaps w:val="false"/>
          <w:sz w:val="20"/>
        </w:rPr>
        <w:t xml:space="preserve"> Stockholders approved the potential issuance of shares of the Company’s common stock underlying previously issued common warrants to purchase up to 2,142,854 shares of the Company’s common stock held by an investor in the Offering that were amended concurrently with the Offering.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28" w:type="dxa"/>
          <w:right w:w="0" w:type="dxa"/>
        </w:tblCellMar>
      </w:tblPr>
      <w:tblGrid>
        <w:gridCol w:w="75"/>
        <w:gridCol w:w="950"/>
        <w:gridCol w:w="60"/>
        <w:gridCol w:w="60"/>
        <w:gridCol w:w="77"/>
        <w:gridCol w:w="1097"/>
        <w:gridCol w:w="60"/>
        <w:gridCol w:w="60"/>
        <w:gridCol w:w="79"/>
        <w:gridCol w:w="916"/>
        <w:gridCol w:w="60"/>
        <w:gridCol w:w="60"/>
        <w:gridCol w:w="64"/>
        <w:gridCol w:w="1020"/>
        <w:gridCol w:w="75"/>
      </w:tblGrid>
      <w:tr>
        <w:trPr/>
        <w:tc>
          <w:tcPr>
            <w:tcW w:w="1025" w:type="dxa"/>
            <w:gridSpan w:val="2"/>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8" w:space="0" w:color="000000"/>
            </w:tcBorders>
            <w:vAlign w:val="center"/>
          </w:tcPr>
          <w:p>
            <w:pPr>
              <w:pStyle w:val="TableContents"/>
              <w:bidi w:val="0"/>
              <w:spacing w:before="0" w:after="283"/>
              <w:jc w:val="center"/>
              <w:rPr>
                <w:b/>
                <w:sz w:val="20"/>
              </w:rPr>
            </w:pPr>
            <w:r>
              <w:rPr>
                <w:b/>
                <w:sz w:val="20"/>
              </w:rPr>
              <w:t>Broker Non-</w:t>
              <w:br/>
              <w:t>Votes</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10,011,424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 w:type="dxa"/>
            <w:tcBorders/>
            <w:shd w:fill="CCEEFF" w:val="clear"/>
            <w:tcMar>
              <w:bottom w:w="0" w:type="dxa"/>
            </w:tcMar>
            <w:vAlign w:val="center"/>
          </w:tcPr>
          <w:p>
            <w:pPr>
              <w:pStyle w:val="TableContents"/>
              <w:bidi w:val="0"/>
              <w:spacing w:before="0" w:after="283"/>
              <w:jc w:val="center"/>
              <w:rPr/>
            </w:pPr>
            <w:r>
              <w:rPr/>
              <w:t> </w:t>
            </w:r>
          </w:p>
        </w:tc>
        <w:tc>
          <w:tcPr>
            <w:tcW w:w="1097" w:type="dxa"/>
            <w:tcBorders/>
            <w:shd w:fill="CCEEFF" w:val="clear"/>
            <w:tcMar>
              <w:bottom w:w="0" w:type="dxa"/>
            </w:tcMar>
            <w:vAlign w:val="center"/>
          </w:tcPr>
          <w:p>
            <w:pPr>
              <w:pStyle w:val="TableContents"/>
              <w:bidi w:val="0"/>
              <w:spacing w:before="0" w:after="283"/>
              <w:jc w:val="center"/>
              <w:rPr>
                <w:sz w:val="20"/>
              </w:rPr>
            </w:pPr>
            <w:r>
              <w:rPr>
                <w:sz w:val="20"/>
              </w:rPr>
              <w:t>6,691,578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9" w:type="dxa"/>
            <w:tcBorders/>
            <w:shd w:fill="CCEEFF" w:val="clear"/>
            <w:tcMar>
              <w:bottom w:w="0" w:type="dxa"/>
            </w:tcMar>
            <w:vAlign w:val="center"/>
          </w:tcPr>
          <w:p>
            <w:pPr>
              <w:pStyle w:val="TableContents"/>
              <w:bidi w:val="0"/>
              <w:spacing w:before="0" w:after="283"/>
              <w:jc w:val="center"/>
              <w:rPr/>
            </w:pPr>
            <w:r>
              <w:rPr/>
              <w:t> </w:t>
            </w:r>
          </w:p>
        </w:tc>
        <w:tc>
          <w:tcPr>
            <w:tcW w:w="916" w:type="dxa"/>
            <w:tcBorders/>
            <w:shd w:fill="CCEEFF" w:val="clear"/>
            <w:tcMar>
              <w:bottom w:w="0" w:type="dxa"/>
            </w:tcMar>
            <w:vAlign w:val="center"/>
          </w:tcPr>
          <w:p>
            <w:pPr>
              <w:pStyle w:val="TableContents"/>
              <w:bidi w:val="0"/>
              <w:spacing w:before="0" w:after="283"/>
              <w:jc w:val="center"/>
              <w:rPr>
                <w:sz w:val="20"/>
              </w:rPr>
            </w:pPr>
            <w:r>
              <w:rPr>
                <w:sz w:val="20"/>
              </w:rPr>
              <w:t>513,142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4" w:type="dxa"/>
            <w:tcBorders/>
            <w:shd w:fill="CCEEFF" w:val="clear"/>
            <w:tcMar>
              <w:bottom w:w="0" w:type="dxa"/>
            </w:tcMar>
            <w:vAlign w:val="center"/>
          </w:tcPr>
          <w:p>
            <w:pPr>
              <w:pStyle w:val="TableContents"/>
              <w:bidi w:val="0"/>
              <w:spacing w:before="0" w:after="283"/>
              <w:jc w:val="center"/>
              <w:rPr/>
            </w:pPr>
            <w:r>
              <w:rPr/>
              <w:t> </w:t>
            </w:r>
          </w:p>
        </w:tc>
        <w:tc>
          <w:tcPr>
            <w:tcW w:w="1020" w:type="dxa"/>
            <w:tcBorders/>
            <w:shd w:fill="CCEEFF" w:val="clear"/>
            <w:tcMar>
              <w:bottom w:w="0" w:type="dxa"/>
            </w:tcMar>
            <w:vAlign w:val="center"/>
          </w:tcPr>
          <w:p>
            <w:pPr>
              <w:pStyle w:val="TableContents"/>
              <w:bidi w:val="0"/>
              <w:spacing w:before="0" w:after="283"/>
              <w:jc w:val="center"/>
              <w:rPr>
                <w:sz w:val="20"/>
              </w:rPr>
            </w:pPr>
            <w:r>
              <w:rPr>
                <w:sz w:val="20"/>
              </w:rPr>
              <w:t>28,958,783</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xml:space="preserve"> Stockholders approved the amendment of the Company’s Restated Certificate of Incorporation to increase the total number of shares of its common stock authorized for issuance from 260,000,000 to 600,000,000 shares.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28" w:type="dxa"/>
          <w:right w:w="0" w:type="dxa"/>
        </w:tblCellMar>
      </w:tblPr>
      <w:tblGrid>
        <w:gridCol w:w="75"/>
        <w:gridCol w:w="950"/>
        <w:gridCol w:w="60"/>
        <w:gridCol w:w="60"/>
        <w:gridCol w:w="77"/>
        <w:gridCol w:w="1097"/>
        <w:gridCol w:w="60"/>
        <w:gridCol w:w="60"/>
        <w:gridCol w:w="79"/>
        <w:gridCol w:w="916"/>
        <w:gridCol w:w="60"/>
        <w:gridCol w:w="60"/>
        <w:gridCol w:w="64"/>
        <w:gridCol w:w="1020"/>
        <w:gridCol w:w="75"/>
      </w:tblGrid>
      <w:tr>
        <w:trPr/>
        <w:tc>
          <w:tcPr>
            <w:tcW w:w="1025" w:type="dxa"/>
            <w:gridSpan w:val="2"/>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8" w:space="0" w:color="000000"/>
            </w:tcBorders>
            <w:vAlign w:val="center"/>
          </w:tcPr>
          <w:p>
            <w:pPr>
              <w:pStyle w:val="TableContents"/>
              <w:bidi w:val="0"/>
              <w:spacing w:before="0" w:after="283"/>
              <w:jc w:val="center"/>
              <w:rPr>
                <w:b/>
                <w:sz w:val="20"/>
              </w:rPr>
            </w:pPr>
            <w:r>
              <w:rPr>
                <w:b/>
                <w:sz w:val="20"/>
              </w:rPr>
              <w:t>Broker Non-</w:t>
              <w:br/>
              <w:t>Votes</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24,425,476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7" w:type="dxa"/>
            <w:tcBorders/>
            <w:shd w:fill="CCEEFF" w:val="clear"/>
            <w:tcMar>
              <w:bottom w:w="0" w:type="dxa"/>
            </w:tcMar>
            <w:vAlign w:val="center"/>
          </w:tcPr>
          <w:p>
            <w:pPr>
              <w:pStyle w:val="TableContents"/>
              <w:bidi w:val="0"/>
              <w:spacing w:before="0" w:after="283"/>
              <w:jc w:val="center"/>
              <w:rPr/>
            </w:pPr>
            <w:r>
              <w:rPr/>
              <w:t> </w:t>
            </w:r>
          </w:p>
        </w:tc>
        <w:tc>
          <w:tcPr>
            <w:tcW w:w="1097" w:type="dxa"/>
            <w:tcBorders/>
            <w:shd w:fill="CCEEFF" w:val="clear"/>
            <w:tcMar>
              <w:bottom w:w="0" w:type="dxa"/>
            </w:tcMar>
            <w:vAlign w:val="center"/>
          </w:tcPr>
          <w:p>
            <w:pPr>
              <w:pStyle w:val="TableContents"/>
              <w:bidi w:val="0"/>
              <w:spacing w:before="0" w:after="283"/>
              <w:jc w:val="center"/>
              <w:rPr>
                <w:sz w:val="20"/>
              </w:rPr>
            </w:pPr>
            <w:r>
              <w:rPr>
                <w:sz w:val="20"/>
              </w:rPr>
              <w:t>8,690,115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9" w:type="dxa"/>
            <w:tcBorders/>
            <w:shd w:fill="CCEEFF" w:val="clear"/>
            <w:tcMar>
              <w:bottom w:w="0" w:type="dxa"/>
            </w:tcMar>
            <w:vAlign w:val="center"/>
          </w:tcPr>
          <w:p>
            <w:pPr>
              <w:pStyle w:val="TableContents"/>
              <w:bidi w:val="0"/>
              <w:spacing w:before="0" w:after="283"/>
              <w:jc w:val="center"/>
              <w:rPr/>
            </w:pPr>
            <w:r>
              <w:rPr/>
              <w:t> </w:t>
            </w:r>
          </w:p>
        </w:tc>
        <w:tc>
          <w:tcPr>
            <w:tcW w:w="916" w:type="dxa"/>
            <w:tcBorders/>
            <w:shd w:fill="CCEEFF" w:val="clear"/>
            <w:tcMar>
              <w:bottom w:w="0" w:type="dxa"/>
            </w:tcMar>
            <w:vAlign w:val="center"/>
          </w:tcPr>
          <w:p>
            <w:pPr>
              <w:pStyle w:val="TableContents"/>
              <w:bidi w:val="0"/>
              <w:spacing w:before="0" w:after="283"/>
              <w:jc w:val="center"/>
              <w:rPr>
                <w:sz w:val="20"/>
              </w:rPr>
            </w:pPr>
            <w:r>
              <w:rPr>
                <w:sz w:val="20"/>
              </w:rPr>
              <w:t>229,586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4" w:type="dxa"/>
            <w:tcBorders/>
            <w:shd w:fill="CCEEFF" w:val="clear"/>
            <w:tcMar>
              <w:bottom w:w="0" w:type="dxa"/>
            </w:tcMar>
            <w:vAlign w:val="center"/>
          </w:tcPr>
          <w:p>
            <w:pPr>
              <w:pStyle w:val="TableContents"/>
              <w:bidi w:val="0"/>
              <w:spacing w:before="0" w:after="283"/>
              <w:jc w:val="center"/>
              <w:rPr/>
            </w:pPr>
            <w:r>
              <w:rPr/>
              <w:t> </w:t>
            </w:r>
          </w:p>
        </w:tc>
        <w:tc>
          <w:tcPr>
            <w:tcW w:w="1020" w:type="dxa"/>
            <w:tcBorders/>
            <w:shd w:fill="CCEEFF" w:val="clear"/>
            <w:tcMar>
              <w:bottom w:w="0" w:type="dxa"/>
            </w:tcMar>
            <w:vAlign w:val="center"/>
          </w:tcPr>
          <w:p>
            <w:pPr>
              <w:pStyle w:val="TableContents"/>
              <w:bidi w:val="0"/>
              <w:spacing w:before="0" w:after="283"/>
              <w:jc w:val="center"/>
              <w:rPr>
                <w:sz w:val="20"/>
              </w:rPr>
            </w:pPr>
            <w:r>
              <w:rPr>
                <w:sz w:val="20"/>
              </w:rPr>
              <w:t>28,958,783</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3.</w:t>
      </w:r>
      <w:r>
        <w:rPr>
          <w:rFonts w:ascii="Times New Roman;Times;Serif" w:hAnsi="Times New Roman;Times;Serif"/>
          <w:b w:val="false"/>
          <w:i w:val="false"/>
          <w:caps w:val="false"/>
          <w:smallCaps w:val="false"/>
          <w:sz w:val="20"/>
        </w:rPr>
        <w:t xml:space="preserve"> Stockholders approved the amendment of the Company’s Restated Certificate of Incorporation to effect a reverse stock split of the Company’s common stock, and a corresponding and proportionate reduction in the number of authorized shares of the Company’s common stock, at a ratio of 1-for-10 to 1-for-50, to be determined in the sole discretion of the Company’s board of directors. The voting results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09" w:type="dxa"/>
        <w:jc w:val="left"/>
        <w:tblInd w:w="0" w:type="dxa"/>
        <w:tblLayout w:type="fixed"/>
        <w:tblCellMar>
          <w:top w:w="0" w:type="dxa"/>
          <w:left w:w="0" w:type="dxa"/>
          <w:bottom w:w="28" w:type="dxa"/>
          <w:right w:w="0" w:type="dxa"/>
        </w:tblCellMar>
      </w:tblPr>
      <w:tblGrid>
        <w:gridCol w:w="75"/>
        <w:gridCol w:w="950"/>
        <w:gridCol w:w="60"/>
        <w:gridCol w:w="60"/>
        <w:gridCol w:w="69"/>
        <w:gridCol w:w="1105"/>
        <w:gridCol w:w="60"/>
        <w:gridCol w:w="60"/>
        <w:gridCol w:w="79"/>
        <w:gridCol w:w="916"/>
        <w:gridCol w:w="75"/>
      </w:tblGrid>
      <w:tr>
        <w:trPr/>
        <w:tc>
          <w:tcPr>
            <w:tcW w:w="1025" w:type="dxa"/>
            <w:gridSpan w:val="2"/>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283"/>
              <w:jc w:val="center"/>
              <w:rPr>
                <w:b/>
                <w:sz w:val="20"/>
              </w:rPr>
            </w:pPr>
            <w:r>
              <w:rPr>
                <w:b/>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44,271,885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 w:type="dxa"/>
            <w:tcBorders/>
            <w:shd w:fill="CCEEFF" w:val="clear"/>
            <w:tcMar>
              <w:bottom w:w="0" w:type="dxa"/>
            </w:tcMar>
            <w:vAlign w:val="center"/>
          </w:tcPr>
          <w:p>
            <w:pPr>
              <w:pStyle w:val="TableContents"/>
              <w:bidi w:val="0"/>
              <w:spacing w:before="0" w:after="283"/>
              <w:jc w:val="center"/>
              <w:rPr/>
            </w:pPr>
            <w:r>
              <w:rPr/>
              <w:t> </w:t>
            </w:r>
          </w:p>
        </w:tc>
        <w:tc>
          <w:tcPr>
            <w:tcW w:w="1105" w:type="dxa"/>
            <w:tcBorders/>
            <w:shd w:fill="CCEEFF" w:val="clear"/>
            <w:tcMar>
              <w:bottom w:w="0" w:type="dxa"/>
            </w:tcMar>
            <w:vAlign w:val="center"/>
          </w:tcPr>
          <w:p>
            <w:pPr>
              <w:pStyle w:val="TableContents"/>
              <w:bidi w:val="0"/>
              <w:spacing w:before="0" w:after="283"/>
              <w:jc w:val="center"/>
              <w:rPr>
                <w:sz w:val="20"/>
              </w:rPr>
            </w:pPr>
            <w:r>
              <w:rPr>
                <w:sz w:val="20"/>
              </w:rPr>
              <w:t>17,765,393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9" w:type="dxa"/>
            <w:tcBorders/>
            <w:shd w:fill="CCEEFF" w:val="clear"/>
            <w:tcMar>
              <w:bottom w:w="0" w:type="dxa"/>
            </w:tcMar>
            <w:vAlign w:val="center"/>
          </w:tcPr>
          <w:p>
            <w:pPr>
              <w:pStyle w:val="TableContents"/>
              <w:bidi w:val="0"/>
              <w:spacing w:before="0" w:after="283"/>
              <w:jc w:val="center"/>
              <w:rPr/>
            </w:pPr>
            <w:r>
              <w:rPr/>
              <w:t> </w:t>
            </w:r>
          </w:p>
        </w:tc>
        <w:tc>
          <w:tcPr>
            <w:tcW w:w="916" w:type="dxa"/>
            <w:tcBorders/>
            <w:shd w:fill="CCEEFF" w:val="clear"/>
            <w:tcMar>
              <w:bottom w:w="0" w:type="dxa"/>
            </w:tcMar>
            <w:vAlign w:val="center"/>
          </w:tcPr>
          <w:p>
            <w:pPr>
              <w:pStyle w:val="TableContents"/>
              <w:bidi w:val="0"/>
              <w:spacing w:before="0" w:after="283"/>
              <w:jc w:val="center"/>
              <w:rPr>
                <w:sz w:val="20"/>
              </w:rPr>
            </w:pPr>
            <w:r>
              <w:rPr>
                <w:sz w:val="20"/>
              </w:rPr>
              <w:t>266,682</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b/>
                <w:sz w:val="20"/>
              </w:rPr>
            </w:pPr>
            <w:r>
              <w:rPr>
                <w:b/>
                <w:sz w:val="20"/>
              </w:rPr>
              <w:t>Item 9.01</w:t>
            </w:r>
          </w:p>
        </w:tc>
        <w:tc>
          <w:tcPr>
            <w:tcW w:w="2915"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9190" w:type="dxa"/>
        <w:jc w:val="left"/>
        <w:tblInd w:w="0" w:type="dxa"/>
        <w:tblLayout w:type="fixed"/>
        <w:tblCellMar>
          <w:top w:w="0" w:type="dxa"/>
          <w:left w:w="0" w:type="dxa"/>
          <w:bottom w:w="28" w:type="dxa"/>
          <w:right w:w="0" w:type="dxa"/>
        </w:tblCellMar>
      </w:tblPr>
      <w:tblGrid>
        <w:gridCol w:w="995"/>
        <w:gridCol w:w="60"/>
        <w:gridCol w:w="60"/>
        <w:gridCol w:w="8075"/>
      </w:tblGrid>
      <w:tr>
        <w:trPr/>
        <w:tc>
          <w:tcPr>
            <w:tcW w:w="995" w:type="dxa"/>
            <w:tcBorders>
              <w:bottom w:val="single" w:sz="8" w:space="0" w:color="000000"/>
            </w:tcBorders>
            <w:vAlign w:val="center"/>
          </w:tcPr>
          <w:p>
            <w:pPr>
              <w:pStyle w:val="TableContents"/>
              <w:bidi w:val="0"/>
              <w:spacing w:before="0" w:after="283"/>
              <w:jc w:val="center"/>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75"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center"/>
              <w:rPr/>
            </w:pPr>
            <w:hyperlink w:anchor="tm2620677d1_3-1.htm">
              <w:r>
                <w:rPr>
                  <w:rStyle w:val="InternetLink"/>
                  <w:sz w:val="20"/>
                </w:rPr>
                <w:t>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75" w:type="dxa"/>
            <w:tcBorders/>
            <w:shd w:fill="CCEEFF" w:val="clear"/>
            <w:tcMar>
              <w:bottom w:w="0" w:type="dxa"/>
            </w:tcMar>
            <w:vAlign w:val="center"/>
          </w:tcPr>
          <w:p>
            <w:pPr>
              <w:pStyle w:val="TableContents"/>
              <w:bidi w:val="0"/>
              <w:spacing w:before="0" w:after="283"/>
              <w:jc w:val="left"/>
              <w:rPr/>
            </w:pPr>
            <w:hyperlink w:anchor="tm2620677d1_3-1.htm">
              <w:r>
                <w:rPr>
                  <w:rStyle w:val="InternetLink"/>
                  <w:sz w:val="20"/>
                </w:rPr>
                <w:t>Certificate of Amendment of the Restated Certificate of Incorporation of Outlook Therapeutics, Inc.</w:t>
              </w:r>
            </w:hyperlink>
          </w:p>
        </w:tc>
      </w:tr>
      <w:tr>
        <w:trPr/>
        <w:tc>
          <w:tcPr>
            <w:tcW w:w="995" w:type="dxa"/>
            <w:tcBorders/>
            <w:shd w:fill="FFFFFF" w:val="clear"/>
            <w:tcMar>
              <w:bottom w:w="0" w:type="dxa"/>
            </w:tcMar>
            <w:vAlign w:val="center"/>
          </w:tcPr>
          <w:p>
            <w:pPr>
              <w:pStyle w:val="TableContents"/>
              <w:bidi w:val="0"/>
              <w:spacing w:before="0" w:after="283"/>
              <w:jc w:val="center"/>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7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59" w:type="dxa"/>
        <w:jc w:val="left"/>
        <w:tblInd w:w="0" w:type="dxa"/>
        <w:tblLayout w:type="fixed"/>
        <w:tblCellMar>
          <w:top w:w="0" w:type="dxa"/>
          <w:left w:w="0" w:type="dxa"/>
          <w:bottom w:w="0" w:type="dxa"/>
          <w:right w:w="0" w:type="dxa"/>
        </w:tblCellMar>
      </w:tblPr>
      <w:tblGrid>
        <w:gridCol w:w="1895"/>
        <w:gridCol w:w="368"/>
        <w:gridCol w:w="2396"/>
      </w:tblGrid>
      <w:tr>
        <w:trPr/>
        <w:tc>
          <w:tcPr>
            <w:tcW w:w="189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b/>
              </w:rPr>
            </w:pPr>
            <w:r>
              <w:rPr>
                <w:b/>
              </w:rPr>
              <w:t>Outlook Therapeutics, Inc.</w:t>
            </w:r>
          </w:p>
        </w:tc>
      </w:tr>
      <w:tr>
        <w:trPr/>
        <w:tc>
          <w:tcPr>
            <w:tcW w:w="189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16, 2026</w:t>
            </w:r>
          </w:p>
        </w:tc>
        <w:tc>
          <w:tcPr>
            <w:tcW w:w="368" w:type="dxa"/>
            <w:tcBorders/>
            <w:vAlign w:val="center"/>
          </w:tcPr>
          <w:p>
            <w:pPr>
              <w:pStyle w:val="TableContents"/>
              <w:bidi w:val="0"/>
              <w:spacing w:before="0" w:after="283"/>
              <w:jc w:val="left"/>
              <w:rPr/>
            </w:pPr>
            <w:r>
              <w:rPr/>
              <w:t>By:</w:t>
            </w:r>
          </w:p>
        </w:tc>
        <w:tc>
          <w:tcPr>
            <w:tcW w:w="2396" w:type="dxa"/>
            <w:tcBorders>
              <w:bottom w:val="single" w:sz="8" w:space="0" w:color="000000"/>
            </w:tcBorders>
            <w:tcMar>
              <w:bottom w:w="28" w:type="dxa"/>
            </w:tcMar>
            <w:vAlign w:val="center"/>
          </w:tcPr>
          <w:p>
            <w:pPr>
              <w:pStyle w:val="TableContents"/>
              <w:bidi w:val="0"/>
              <w:spacing w:before="0" w:after="283"/>
              <w:jc w:val="left"/>
              <w:rPr/>
            </w:pPr>
            <w:r>
              <w:rPr/>
              <w:t>/s/ Lawrence A. Kenyon</w:t>
            </w:r>
          </w:p>
        </w:tc>
      </w:tr>
      <w:tr>
        <w:trPr/>
        <w:tc>
          <w:tcPr>
            <w:tcW w:w="1895"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2396" w:type="dxa"/>
            <w:tcBorders/>
            <w:vAlign w:val="center"/>
          </w:tcPr>
          <w:p>
            <w:pPr>
              <w:pStyle w:val="TableContents"/>
              <w:bidi w:val="0"/>
              <w:spacing w:before="0" w:after="283"/>
              <w:jc w:val="left"/>
              <w:rPr/>
            </w:pPr>
            <w:r>
              <w:rPr/>
              <w:t>Lawrence A. Kenyon</w:t>
            </w:r>
          </w:p>
        </w:tc>
      </w:tr>
      <w:tr>
        <w:trPr/>
        <w:tc>
          <w:tcPr>
            <w:tcW w:w="1895"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2396" w:type="dxa"/>
            <w:tcBorders/>
            <w:vAlign w:val="center"/>
          </w:tcPr>
          <w:p>
            <w:pPr>
              <w:pStyle w:val="TableContents"/>
              <w:bidi w:val="0"/>
              <w:spacing w:before="0" w:after="283"/>
              <w:jc w:val="left"/>
              <w:rPr>
                <w:i/>
              </w:rPr>
            </w:pPr>
            <w:r>
              <w:rPr>
                <w:i/>
              </w:rPr>
              <w:t xml:space="preserve">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0677d1_3-1.htm"/>
      <w:bookmarkStart w:id="24" w:name="kstm2620677d1_31"/>
      <w:bookmarkEnd w:id="23"/>
      <w:bookmarkEnd w:id="24"/>
      <w:r>
        <w:rPr>
          <w:b/>
        </w:rPr>
        <w:t>Exhibit 3.1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 CERTIFICATE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OUTLOOK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Outlook Therapeutics, Inc., a corporation organized and existing under and by virtue of the General Corporation Law of the State of Delaware, hereby certifies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The name of the Company is Outlook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The date of the filing the original Certificate of Incorporation of this Company with the Secretary of State of the State of Delaware was October 22, 2015 under the name Oncobiologics, Inc. and the date of filing of the Restated Certificate of Incorporation of the Company with the Secretary of State of the State of Delaware was May 13,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Paragraph A of ARTICLE IV of the Company’s Restated Certificate of Incorporation, as amended, be, and it hereby is, amended and restated to read in its entirety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The Company is authorized to issue two classes of stock to be designated, respectively, “Common Stock” and “Preferred Stock.” The total number of shares which the Company is authorized to issue is six hundred and ten million (610,000,000) shares. Six hundred million (600,000,000) shares shall be Common Stock, each having a par value of one cent ($0.01). Ten million (10,000,000) shares shall be Preferred Stock, each having a par value of one cent ($0.01).”</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The foregoing amendment was submitted to the stockholders of the Company for their approval, and was duly adopted in accordance with the provisions of Section 242 of the General Corporation Law of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Fifth:</w:t>
      </w:r>
      <w:r>
        <w:rPr>
          <w:rFonts w:ascii="Times New Roman;Times;Serif" w:hAnsi="Times New Roman;Times;Serif"/>
          <w:b w:val="false"/>
          <w:i w:val="false"/>
          <w:caps w:val="false"/>
          <w:smallCaps w:val="false"/>
          <w:sz w:val="20"/>
        </w:rPr>
        <w:t> This Certificate of Amendment shall be effective at 5:00 p.m. Eastern Time on July 16,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Outlook Therapeutics, Inc. has caused this Certificate of Amendment to be signed by its Chief Financial Officer, Treasurer and Secretary this 16th day of July, 2026.</w:t>
      </w:r>
    </w:p>
    <w:p>
      <w:pPr>
        <w:pStyle w:val="TextBody"/>
        <w:bidi w:val="0"/>
        <w:spacing w:before="0" w:after="0"/>
        <w:ind w:left="0" w:right="0" w:hanging="0"/>
        <w:jc w:val="left"/>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155"/>
        <w:gridCol w:w="60"/>
        <w:gridCol w:w="320"/>
        <w:gridCol w:w="3875"/>
      </w:tblGrid>
      <w:tr>
        <w:trPr/>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b/>
                <w:sz w:val="20"/>
              </w:rPr>
            </w:pPr>
            <w:r>
              <w:rPr>
                <w:b/>
                <w:sz w:val="20"/>
              </w:rPr>
              <w:t>Outlook Therapeutics, Inc.</w:t>
            </w:r>
          </w:p>
        </w:tc>
      </w:tr>
      <w:tr>
        <w:trPr/>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Lawrence A Kenyon</w:t>
            </w:r>
          </w:p>
        </w:tc>
      </w:tr>
      <w:tr>
        <w:trPr/>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Lawrence A Kenyon </w:t>
            </w:r>
          </w:p>
        </w:tc>
      </w:tr>
      <w:tr>
        <w:trPr/>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1310</Words>
  <Characters>7184</Characters>
  <CharactersWithSpaces>8564</CharactersWithSpaces>
  <Paragraphs>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