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1232d1_8k.htm"/>
      <w:bookmarkStart w:id="1" w:name="kstm2621232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721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Pursuant to Section 13 OR 15(d) of The Securities Exchange Act of 1934</w:t>
      </w:r>
      <w:r>
        <w:rPr>
          <w:rFonts w:ascii="Times New Roman;Times;Serif" w:hAnsi="Times New Roman;Times;Serif"/>
          <w:b w:val="false"/>
          <w:i w:val="false"/>
          <w:caps w:val="false"/>
          <w:smallCaps w:val="false"/>
          <w:sz w:val="26"/>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July 21,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2_edei--EntityFileNumber_c20260721"/>
            <w:bookmarkEnd w:id="6"/>
            <w:r>
              <w:rPr>
                <w:b/>
              </w:rPr>
              <w:t>001-37759</w:t>
            </w:r>
          </w:p>
        </w:tc>
        <w:tc>
          <w:tcPr>
            <w:tcW w:w="3335" w:type="dxa"/>
            <w:tcBorders/>
            <w:vAlign w:val="center"/>
          </w:tcPr>
          <w:p>
            <w:pPr>
              <w:pStyle w:val="TableContents"/>
              <w:bidi w:val="0"/>
              <w:spacing w:before="0" w:after="283"/>
              <w:jc w:val="center"/>
              <w:rPr>
                <w:b/>
              </w:rPr>
            </w:pPr>
            <w:bookmarkStart w:id="7" w:name="xdx_90C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111 S. Wood Avenue,</w:t>
            </w:r>
            <w:r>
              <w:rPr>
                <w:rFonts w:ascii="Times New Roman;Times;Serif" w:hAnsi="Times New Roman;Times;Serif"/>
                <w:b w:val="false"/>
                <w:i w:val="false"/>
                <w:caps w:val="false"/>
                <w:smallCaps w:val="false"/>
                <w:sz w:val="20"/>
              </w:rPr>
              <w:t xml:space="preserve"> </w:t>
            </w:r>
            <w:bookmarkStart w:id="9" w:name="xdx_90E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Iselin, </w:t>
            </w:r>
            <w:bookmarkStart w:id="11" w:name="xdx_900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5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721__20"/>
      <w:bookmarkEnd w:id="13"/>
      <w:r>
        <w:rPr>
          <w:rFonts w:ascii="Times New Roman;Times;Serif" w:hAnsi="Times New Roman;Times;Serif"/>
          <w:b/>
          <w:i w:val="false"/>
          <w:caps w:val="false"/>
          <w:smallCaps w:val="false"/>
          <w:sz w:val="20"/>
        </w:rPr>
        <w:t xml:space="preserve">609) </w:t>
      </w:r>
      <w:bookmarkStart w:id="14" w:name="xdx_906_edei--LocalPhoneNumber_c20260721"/>
      <w:bookmarkEnd w:id="14"/>
      <w:r>
        <w:rPr>
          <w:rFonts w:ascii="Times New Roman;Times;Serif" w:hAnsi="Times New Roman;Times;Serif"/>
          <w:b/>
          <w:i w:val="false"/>
          <w:caps w:val="false"/>
          <w:smallCaps w:val="false"/>
          <w:sz w:val="20"/>
        </w:rPr>
        <w:t>619-3990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6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9_edei--SolicitingMaterial_c202607"/>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C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C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1940"/>
        <w:gridCol w:w="60"/>
        <w:gridCol w:w="1925"/>
        <w:gridCol w:w="60"/>
        <w:gridCol w:w="3590"/>
      </w:tblGrid>
      <w:tr>
        <w:trPr/>
        <w:tc>
          <w:tcPr>
            <w:tcW w:w="194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 on Which</w:t>
              <w:br/>
              <w:t>Registered</w:t>
            </w:r>
          </w:p>
        </w:tc>
      </w:tr>
      <w:tr>
        <w:trPr/>
        <w:tc>
          <w:tcPr>
            <w:tcW w:w="1940" w:type="dxa"/>
            <w:tcBorders/>
            <w:tcMar>
              <w:bottom w:w="0" w:type="dxa"/>
            </w:tcMar>
            <w:vAlign w:val="center"/>
          </w:tcPr>
          <w:p>
            <w:pPr>
              <w:pStyle w:val="TableContents"/>
              <w:bidi w:val="0"/>
              <w:spacing w:before="0" w:after="283"/>
              <w:jc w:val="center"/>
              <w:rPr/>
            </w:pPr>
            <w:bookmarkStart w:id="19" w:name="xdx_90B_edei--Security12bTitle_c20260721"/>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20" w:name="xdx_909_edei--TradingSymbol_c20260721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1" w:name="xdx_903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
        <w:gridCol w:w="9474"/>
      </w:tblGrid>
      <w:tr>
        <w:trPr/>
        <w:tc>
          <w:tcPr>
            <w:tcW w:w="7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Compensation Committee (the “Compensation Committee”) of the Board of Directors of Outlook Therapeutics, Inc. (the “Company”) approved the grant of stock options to purchase shares of the Company’s common stock to the Company’s named executive officers as follows: Robert C. Jahr, the Company’s Chief Executive Officer – 100,000 options and Lawrence A. Kenyon, the Company’s Chief Financial Officer – 210,078 options (collectively, the “Option Awards”). The Option Awards were granted pursuant to the Company’s 2024 Equity Incentive Plan (the “2024 Plan”) and the Company’s standard form of stock option agreement thereunder, with an exercise price of $1.4304 per share, the closing price of the Company’s common stock on The Nasdaq Capital Market on the grant date. The Option Awards will vest and become exercisable on July 21, 2027, subject to the applicable officer’s continuing service with the Company through such vesting date. The Option Awards were granted in recognition of Mr. Jahr’s and Mr. Kenyon’s efforts and contributions during 2025 and 2026 in advancing the Company’s Biologics License Application (the “BLA”) for ONS-5010 (bevacizumab-vikg) through the review and appeal processes with the U.S. Food and Drug Administration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21, 2026, the Compensation Committee approved the award of cash bonus opportunities to Mr. Jahr and Mr. Kenyon in the amounts of $420,000 and $200,000, respectively (the “Bonus” and together, the “Bonuses”). Each Bonus will be earned and become payable only in the event that, on or prior to July 31, 2026, the FDA approves ONS-5010 (bevacizumab-vikg) and renders a favorable decision with respect to the Company’s BLA. The Compensation Committee awarded the Bonuses in recognition of Mr. Jahr and Mr. Kenyon’s contributions to the advancement of the ONS-5010 (bevacizumab-vikg) BLA and the Company’s non-payment of annual bonuses for their 2025 service. Each Bonus, if earned, will be paid, less applicable deductions and withholdings, subject to the applicable officer’s continuing service with the Company through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Option Awards does not purport to be complete and is subject to, and qualified in its entirety by, the full text of the 2024 Plan and the form of stock option agreement thereunder, each of which has been previously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895"/>
        <w:gridCol w:w="365"/>
        <w:gridCol w:w="2375"/>
      </w:tblGrid>
      <w:tr>
        <w:trPr/>
        <w:tc>
          <w:tcPr>
            <w:tcW w:w="189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Outlook Therapeutics, Inc.</w:t>
            </w:r>
          </w:p>
        </w:tc>
      </w:tr>
      <w:tr>
        <w:trPr/>
        <w:tc>
          <w:tcPr>
            <w:tcW w:w="189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23, 2026</w:t>
            </w:r>
          </w:p>
        </w:tc>
        <w:tc>
          <w:tcPr>
            <w:tcW w:w="365" w:type="dxa"/>
            <w:tcBorders/>
            <w:vAlign w:val="center"/>
          </w:tcPr>
          <w:p>
            <w:pPr>
              <w:pStyle w:val="TableContents"/>
              <w:bidi w:val="0"/>
              <w:spacing w:before="0" w:after="283"/>
              <w:jc w:val="left"/>
              <w:rPr/>
            </w:pPr>
            <w:r>
              <w:rPr/>
              <w:t>By:</w:t>
            </w:r>
          </w:p>
        </w:tc>
        <w:tc>
          <w:tcPr>
            <w:tcW w:w="2375" w:type="dxa"/>
            <w:tcBorders>
              <w:bottom w:val="single" w:sz="8" w:space="0" w:color="000000"/>
            </w:tcBorders>
            <w:tcMar>
              <w:bottom w:w="28" w:type="dxa"/>
            </w:tcMar>
            <w:vAlign w:val="center"/>
          </w:tcPr>
          <w:p>
            <w:pPr>
              <w:pStyle w:val="TableContents"/>
              <w:bidi w:val="0"/>
              <w:spacing w:before="0" w:after="283"/>
              <w:jc w:val="left"/>
              <w:rPr/>
            </w:pPr>
            <w:r>
              <w:rPr/>
              <w:t>/s/ Lawrence A. Kenyon</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Lawrence A. Kenyon</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733</Words>
  <Characters>4045</Characters>
  <CharactersWithSpaces>4795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