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60d1_nt10q.htm"/>
      <w:bookmarkStart w:id="1" w:name="kstm2623360d1_nt10q"/>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NOTIFICATION OF LATE FILING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FILE NUMBER: 001-37759</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69012T305</w:t>
      </w:r>
    </w:p>
    <w:tbl>
      <w:tblPr>
        <w:tblW w:w="6070" w:type="dxa"/>
        <w:jc w:val="left"/>
        <w:tblInd w:w="0" w:type="dxa"/>
        <w:tblLayout w:type="fixed"/>
        <w:tblCellMar>
          <w:top w:w="0" w:type="dxa"/>
          <w:left w:w="0" w:type="dxa"/>
          <w:bottom w:w="0" w:type="dxa"/>
          <w:right w:w="0" w:type="dxa"/>
        </w:tblCellMar>
      </w:tblPr>
      <w:tblGrid>
        <w:gridCol w:w="1070"/>
        <w:gridCol w:w="60"/>
        <w:gridCol w:w="4940"/>
      </w:tblGrid>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xml:space="preserve">☐ </w:t>
            </w:r>
            <w:r>
              <w:rPr>
                <w:sz w:val="20"/>
              </w:rPr>
              <w:t xml:space="preserve">Form 10-K ☐ Form 20-F ☐ Form 11-K </w:t>
            </w:r>
          </w:p>
        </w:tc>
      </w:tr>
      <w:tr>
        <w:trPr/>
        <w:tc>
          <w:tcPr>
            <w:tcW w:w="1070" w:type="dxa"/>
            <w:tcBorders/>
            <w:vAlign w:val="center"/>
          </w:tcPr>
          <w:p>
            <w:pPr>
              <w:pStyle w:val="TableContents"/>
              <w:bidi w:val="0"/>
              <w:spacing w:before="0" w:after="283"/>
              <w:jc w:val="right"/>
              <w:rPr>
                <w:i/>
                <w:sz w:val="20"/>
              </w:rPr>
            </w:pPr>
            <w:r>
              <w:rPr>
                <w:i/>
                <w:sz w:val="20"/>
              </w:rPr>
              <w:t>(Check one):</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xml:space="preserve">☒ </w:t>
            </w:r>
            <w:r>
              <w:rPr>
                <w:sz w:val="20"/>
              </w:rPr>
              <w:t>Form 10-Q ☐ Form 10-D ☐ Form N-CEN ☐ Form N-CSR</w:t>
            </w:r>
          </w:p>
        </w:tc>
      </w:tr>
      <w:tr>
        <w:trPr/>
        <w:tc>
          <w:tcPr>
            <w:tcW w:w="1070" w:type="dxa"/>
            <w:tcBorders/>
            <w:vAlign w:val="center"/>
          </w:tcPr>
          <w:p>
            <w:pPr>
              <w:pStyle w:val="TableContents"/>
              <w:bidi w:val="0"/>
              <w:spacing w:before="0" w:after="283"/>
              <w:jc w:val="left"/>
              <w:rPr/>
            </w:pPr>
            <w:r>
              <w:rPr/>
              <w:t> </w:t>
            </w:r>
          </w:p>
        </w:tc>
        <w:tc>
          <w:tcPr>
            <w:tcW w:w="5000" w:type="dxa"/>
            <w:gridSpan w:val="2"/>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sz w:val="20"/>
              </w:rPr>
            </w:pPr>
            <w:r>
              <w:rPr>
                <w:sz w:val="20"/>
              </w:rPr>
              <w:t xml:space="preserve">For Period Ended: </w:t>
            </w:r>
            <w:r>
              <w:rPr>
                <w:b/>
                <w:sz w:val="20"/>
              </w:rPr>
              <w:t>June 30, 2026</w:t>
            </w:r>
          </w:p>
        </w:tc>
      </w:tr>
      <w:tr>
        <w:trPr/>
        <w:tc>
          <w:tcPr>
            <w:tcW w:w="1070" w:type="dxa"/>
            <w:tcBorders/>
            <w:vAlign w:val="center"/>
          </w:tcPr>
          <w:p>
            <w:pPr>
              <w:pStyle w:val="TableContents"/>
              <w:bidi w:val="0"/>
              <w:spacing w:before="0" w:after="283"/>
              <w:jc w:val="left"/>
              <w:rPr/>
            </w:pPr>
            <w:r>
              <w:rPr/>
              <w:t> </w:t>
            </w:r>
          </w:p>
        </w:tc>
        <w:tc>
          <w:tcPr>
            <w:tcW w:w="5000" w:type="dxa"/>
            <w:gridSpan w:val="2"/>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w:t>
            </w:r>
            <w:r>
              <w:rPr>
                <w:sz w:val="20"/>
              </w:rPr>
              <w:t>Transition Report on Form 10-K</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xml:space="preserve">☐ </w:t>
            </w:r>
            <w:r>
              <w:rPr>
                <w:sz w:val="20"/>
              </w:rPr>
              <w:t>Transition Report on Form 20-F</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xml:space="preserve">☐ </w:t>
            </w:r>
            <w:r>
              <w:rPr>
                <w:sz w:val="20"/>
              </w:rPr>
              <w:t>Transition Report on Form 11-K</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xml:space="preserve">☐ </w:t>
            </w:r>
            <w:r>
              <w:rPr>
                <w:sz w:val="20"/>
              </w:rPr>
              <w:t>Transition Report on Form 10-Q</w:t>
            </w:r>
          </w:p>
        </w:tc>
      </w:tr>
      <w:tr>
        <w:trPr/>
        <w:tc>
          <w:tcPr>
            <w:tcW w:w="1070" w:type="dxa"/>
            <w:tcBorders/>
            <w:vAlign w:val="center"/>
          </w:tcPr>
          <w:p>
            <w:pPr>
              <w:pStyle w:val="TableContents"/>
              <w:bidi w:val="0"/>
              <w:spacing w:before="0" w:after="283"/>
              <w:jc w:val="left"/>
              <w:rPr/>
            </w:pPr>
            <w:r>
              <w:rPr/>
              <w:t> </w:t>
            </w:r>
          </w:p>
        </w:tc>
        <w:tc>
          <w:tcPr>
            <w:tcW w:w="5000" w:type="dxa"/>
            <w:gridSpan w:val="2"/>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sz w:val="20"/>
              </w:rPr>
            </w:pPr>
            <w:r>
              <w:rPr>
                <w:sz w:val="20"/>
              </w:rPr>
              <w:t>For the Transition Period Ended:</w:t>
            </w:r>
          </w:p>
        </w:tc>
      </w:tr>
    </w:tbl>
    <w:p>
      <w:pPr>
        <w:pStyle w:val="TextBody"/>
        <w:bidi w:val="0"/>
        <w:spacing w:before="0" w:after="0"/>
        <w:ind w:left="0" w:right="0" w:hanging="0"/>
        <w:jc w:val="left"/>
        <w:rPr>
          <w:caps w:val="false"/>
          <w:smallCaps w:val="false"/>
        </w:rPr>
      </w:pPr>
      <w:r>
        <w:rPr>
          <w:caps w:val="false"/>
          <w:smallCaps w:val="false"/>
        </w:rPr>
        <w:t> </w:t>
      </w:r>
    </w:p>
    <w:tbl>
      <w:tblPr>
        <w:tblW w:w="9845" w:type="dxa"/>
        <w:jc w:val="left"/>
        <w:tblInd w:w="-10" w:type="dxa"/>
        <w:tblLayout w:type="fixed"/>
        <w:tblCellMar>
          <w:top w:w="30" w:type="dxa"/>
          <w:left w:w="40" w:type="dxa"/>
          <w:bottom w:w="28" w:type="dxa"/>
          <w:right w:w="210" w:type="dxa"/>
        </w:tblCellMar>
      </w:tblPr>
      <w:tblGrid>
        <w:gridCol w:w="9845"/>
      </w:tblGrid>
      <w:tr>
        <w:trPr/>
        <w:tc>
          <w:tcPr>
            <w:tcW w:w="98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Nothing in this Form shall be construed to imply that the Commission has verified any information contained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S. Wood Avenue, Unit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r>
        <w:rPr>
          <w:rFonts w:ascii="Times New Roman;Times;Serif" w:hAnsi="Times New Roman;Times;Serif"/>
          <w:b/>
          <w:i/>
          <w:caps w:val="false"/>
          <w:smallCaps w:val="false"/>
          <w:sz w:val="20"/>
        </w:rPr>
        <w:t>(Street and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State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 RULES 12b-25(b) AND (c)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8"/>
        <w:gridCol w:w="60"/>
        <w:gridCol w:w="9702"/>
      </w:tblGrid>
      <w:tr>
        <w:trPr/>
        <w:tc>
          <w:tcPr>
            <w:tcW w:w="24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center"/>
              <w:rPr>
                <w:sz w:val="20"/>
              </w:rPr>
            </w:pPr>
            <w:r>
              <w:rPr>
                <w:sz w:val="20"/>
              </w:rPr>
              <w:t>(a)</w:t>
            </w:r>
          </w:p>
        </w:tc>
        <w:tc>
          <w:tcPr>
            <w:tcW w:w="60" w:type="dxa"/>
            <w:tcBorders/>
            <w:vAlign w:val="center"/>
          </w:tcPr>
          <w:p>
            <w:pPr>
              <w:pStyle w:val="TableContents"/>
              <w:bidi w:val="0"/>
              <w:spacing w:before="0" w:after="283"/>
              <w:jc w:val="left"/>
              <w:rPr/>
            </w:pPr>
            <w:r>
              <w:rPr/>
              <w:t> </w:t>
            </w:r>
          </w:p>
        </w:tc>
        <w:tc>
          <w:tcPr>
            <w:tcW w:w="9702" w:type="dxa"/>
            <w:tcBorders/>
            <w:vAlign w:val="center"/>
          </w:tcPr>
          <w:p>
            <w:pPr>
              <w:pStyle w:val="TableContents"/>
              <w:bidi w:val="0"/>
              <w:spacing w:before="0" w:after="283"/>
              <w:jc w:val="both"/>
              <w:rPr>
                <w:sz w:val="20"/>
              </w:rPr>
            </w:pPr>
            <w:r>
              <w:rPr>
                <w:sz w:val="20"/>
              </w:rPr>
              <w:t xml:space="preserve">The reason described in reasonable detail in Part III of this form could not be eliminated without unreasonable effort or expense; </w:t>
            </w:r>
          </w:p>
        </w:tc>
      </w:tr>
      <w:tr>
        <w:trPr/>
        <w:tc>
          <w:tcPr>
            <w:tcW w:w="245" w:type="dxa"/>
            <w:tcBorders/>
            <w:vAlign w:val="center"/>
          </w:tcPr>
          <w:p>
            <w:pPr>
              <w:pStyle w:val="TableContents"/>
              <w:bidi w:val="0"/>
              <w:spacing w:before="0" w:after="283"/>
              <w:jc w:val="center"/>
              <w:rPr/>
            </w:pPr>
            <w:r>
              <w:rPr/>
              <w:t>☒</w:t>
            </w:r>
          </w:p>
        </w:tc>
        <w:tc>
          <w:tcPr>
            <w:tcW w:w="198" w:type="dxa"/>
            <w:tcBorders/>
            <w:vAlign w:val="center"/>
          </w:tcPr>
          <w:p>
            <w:pPr>
              <w:pStyle w:val="TableContents"/>
              <w:bidi w:val="0"/>
              <w:spacing w:before="0" w:after="283"/>
              <w:jc w:val="center"/>
              <w:rPr>
                <w:sz w:val="20"/>
              </w:rPr>
            </w:pPr>
            <w:r>
              <w:rPr>
                <w:sz w:val="20"/>
              </w:rPr>
              <w:t>(b)</w:t>
            </w:r>
          </w:p>
        </w:tc>
        <w:tc>
          <w:tcPr>
            <w:tcW w:w="60" w:type="dxa"/>
            <w:tcBorders/>
            <w:vAlign w:val="center"/>
          </w:tcPr>
          <w:p>
            <w:pPr>
              <w:pStyle w:val="TableContents"/>
              <w:bidi w:val="0"/>
              <w:spacing w:before="0" w:after="283"/>
              <w:jc w:val="left"/>
              <w:rPr/>
            </w:pPr>
            <w:r>
              <w:rPr/>
              <w:t> </w:t>
            </w:r>
          </w:p>
        </w:tc>
        <w:tc>
          <w:tcPr>
            <w:tcW w:w="9702" w:type="dxa"/>
            <w:tcBorders/>
            <w:vAlign w:val="center"/>
          </w:tcPr>
          <w:p>
            <w:pPr>
              <w:pStyle w:val="TableContents"/>
              <w:bidi w:val="0"/>
              <w:spacing w:before="0" w:after="283"/>
              <w:jc w:val="both"/>
              <w:rPr>
                <w:sz w:val="20"/>
              </w:rPr>
            </w:pPr>
            <w:r>
              <w:rPr>
                <w:sz w:val="20"/>
              </w:rPr>
              <w:t xml:space="preserve">The subject annual report, semi-annual report, transition report on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 </w:t>
            </w:r>
          </w:p>
        </w:tc>
      </w:tr>
      <w:tr>
        <w:trPr/>
        <w:tc>
          <w:tcPr>
            <w:tcW w:w="24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center"/>
              <w:rPr>
                <w:sz w:val="20"/>
              </w:rPr>
            </w:pPr>
            <w:r>
              <w:rPr>
                <w:sz w:val="20"/>
              </w:rPr>
              <w:t>(c)</w:t>
            </w:r>
          </w:p>
        </w:tc>
        <w:tc>
          <w:tcPr>
            <w:tcW w:w="60" w:type="dxa"/>
            <w:tcBorders/>
            <w:vAlign w:val="center"/>
          </w:tcPr>
          <w:p>
            <w:pPr>
              <w:pStyle w:val="TableContents"/>
              <w:bidi w:val="0"/>
              <w:spacing w:before="0" w:after="283"/>
              <w:jc w:val="left"/>
              <w:rPr/>
            </w:pPr>
            <w:r>
              <w:rPr/>
              <w:t> </w:t>
            </w:r>
          </w:p>
        </w:tc>
        <w:tc>
          <w:tcPr>
            <w:tcW w:w="9702" w:type="dxa"/>
            <w:tcBorders/>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Outlook Therapeutics, Inc. (the “Company”) is unable to file its Quarterly Report on Form 10-Q for the quarterly period ended June 30, 2026 (the “Form 10-Q”) by the prescribed due date without unreasonable effort or expense. As a result of the Company’s size and recent turnover in its finance department, as well as the devotion of significant time and resources by the Company’s finance personnel in connection with the Company’s public offering that closed on August 14, 2026, the Company has had limited available internal accounting and finance personnel to assist with review and preparation of its financial statements to ensure adequate disclosure of the financial information required to be included in the Form 10-Q. The Company expects to file the Form 10-Q on or prior to the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prescribed due date of the Quarterly Report, as required by Rule 12b-25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1.</w:t>
            </w:r>
          </w:p>
        </w:tc>
        <w:tc>
          <w:tcPr>
            <w:tcW w:w="6335" w:type="dxa"/>
            <w:tcBorders/>
            <w:vAlign w:val="center"/>
          </w:tcPr>
          <w:p>
            <w:pPr>
              <w:pStyle w:val="TableContents"/>
              <w:bidi w:val="0"/>
              <w:spacing w:before="0" w:after="283"/>
              <w:jc w:val="left"/>
              <w:rPr>
                <w:sz w:val="20"/>
              </w:rPr>
            </w:pPr>
            <w:r>
              <w:rPr>
                <w:sz w:val="20"/>
              </w:rPr>
              <w:t>Name and telephone number of person to contact in regard to this notification</w:t>
            </w:r>
          </w:p>
        </w:tc>
      </w:tr>
    </w:tbl>
    <w:p>
      <w:pPr>
        <w:pStyle w:val="TextBody"/>
        <w:bidi w:val="0"/>
        <w:spacing w:before="0" w:after="0"/>
        <w:ind w:left="720" w:right="0" w:hanging="360"/>
        <w:jc w:val="left"/>
        <w:rPr>
          <w:caps w:val="false"/>
          <w:smallCaps w:val="false"/>
        </w:rPr>
      </w:pPr>
      <w:r>
        <w:rPr>
          <w:caps w:val="false"/>
          <w:smallCaps w:val="false"/>
        </w:rPr>
        <w:t> </w:t>
      </w:r>
    </w:p>
    <w:tbl>
      <w:tblPr>
        <w:tblW w:w="4440" w:type="dxa"/>
        <w:jc w:val="left"/>
        <w:tblInd w:w="0" w:type="dxa"/>
        <w:tblLayout w:type="fixed"/>
        <w:tblCellMar>
          <w:top w:w="0" w:type="dxa"/>
          <w:left w:w="0" w:type="dxa"/>
          <w:bottom w:w="28" w:type="dxa"/>
          <w:right w:w="0" w:type="dxa"/>
        </w:tblCellMar>
      </w:tblPr>
      <w:tblGrid>
        <w:gridCol w:w="1730"/>
        <w:gridCol w:w="995"/>
        <w:gridCol w:w="1715"/>
      </w:tblGrid>
      <w:tr>
        <w:trPr/>
        <w:tc>
          <w:tcPr>
            <w:tcW w:w="1730" w:type="dxa"/>
            <w:tcBorders>
              <w:bottom w:val="single" w:sz="8" w:space="0" w:color="000000"/>
            </w:tcBorders>
            <w:vAlign w:val="center"/>
          </w:tcPr>
          <w:p>
            <w:pPr>
              <w:pStyle w:val="TableContents"/>
              <w:bidi w:val="0"/>
              <w:spacing w:before="0" w:after="283"/>
              <w:jc w:val="center"/>
              <w:rPr>
                <w:sz w:val="20"/>
              </w:rPr>
            </w:pPr>
            <w:r>
              <w:rPr>
                <w:sz w:val="20"/>
              </w:rPr>
              <w:t>Lawrence A. Kenyon</w:t>
            </w:r>
          </w:p>
        </w:tc>
        <w:tc>
          <w:tcPr>
            <w:tcW w:w="995" w:type="dxa"/>
            <w:tcBorders>
              <w:bottom w:val="single" w:sz="8" w:space="0" w:color="000000"/>
            </w:tcBorders>
            <w:vAlign w:val="center"/>
          </w:tcPr>
          <w:p>
            <w:pPr>
              <w:pStyle w:val="TableContents"/>
              <w:bidi w:val="0"/>
              <w:spacing w:before="0" w:after="283"/>
              <w:jc w:val="center"/>
              <w:rPr>
                <w:sz w:val="20"/>
              </w:rPr>
            </w:pPr>
            <w:r>
              <w:rPr>
                <w:sz w:val="20"/>
              </w:rPr>
              <w:t>(609)</w:t>
            </w:r>
          </w:p>
        </w:tc>
        <w:tc>
          <w:tcPr>
            <w:tcW w:w="1715" w:type="dxa"/>
            <w:tcBorders>
              <w:bottom w:val="single" w:sz="8" w:space="0" w:color="000000"/>
            </w:tcBorders>
            <w:vAlign w:val="center"/>
          </w:tcPr>
          <w:p>
            <w:pPr>
              <w:pStyle w:val="TableContents"/>
              <w:bidi w:val="0"/>
              <w:spacing w:before="0" w:after="283"/>
              <w:jc w:val="center"/>
              <w:rPr>
                <w:sz w:val="20"/>
              </w:rPr>
            </w:pPr>
            <w:r>
              <w:rPr>
                <w:sz w:val="20"/>
              </w:rPr>
              <w:t>619-3990</w:t>
            </w:r>
          </w:p>
        </w:tc>
      </w:tr>
      <w:tr>
        <w:trPr/>
        <w:tc>
          <w:tcPr>
            <w:tcW w:w="1730" w:type="dxa"/>
            <w:tcBorders/>
            <w:tcMar>
              <w:bottom w:w="0" w:type="dxa"/>
            </w:tcMar>
            <w:vAlign w:val="center"/>
          </w:tcPr>
          <w:p>
            <w:pPr>
              <w:pStyle w:val="TableContents"/>
              <w:bidi w:val="0"/>
              <w:spacing w:before="0" w:after="283"/>
              <w:jc w:val="center"/>
              <w:rPr>
                <w:sz w:val="20"/>
              </w:rPr>
            </w:pPr>
            <w:r>
              <w:rPr>
                <w:sz w:val="20"/>
              </w:rPr>
              <w:t>(Name)</w:t>
            </w:r>
          </w:p>
        </w:tc>
        <w:tc>
          <w:tcPr>
            <w:tcW w:w="995" w:type="dxa"/>
            <w:tcBorders/>
            <w:tcMar>
              <w:bottom w:w="0" w:type="dxa"/>
            </w:tcMar>
            <w:vAlign w:val="center"/>
          </w:tcPr>
          <w:p>
            <w:pPr>
              <w:pStyle w:val="TableContents"/>
              <w:bidi w:val="0"/>
              <w:spacing w:before="0" w:after="283"/>
              <w:jc w:val="center"/>
              <w:rPr>
                <w:sz w:val="20"/>
              </w:rPr>
            </w:pPr>
            <w:r>
              <w:rPr>
                <w:sz w:val="20"/>
              </w:rPr>
              <w:t>(Area Code)</w:t>
            </w:r>
          </w:p>
        </w:tc>
        <w:tc>
          <w:tcPr>
            <w:tcW w:w="1715" w:type="dxa"/>
            <w:tcBorders/>
            <w:tcMar>
              <w:bottom w:w="0" w:type="dxa"/>
            </w:tcMar>
            <w:vAlign w:val="center"/>
          </w:tcPr>
          <w:p>
            <w:pPr>
              <w:pStyle w:val="TableContents"/>
              <w:bidi w:val="0"/>
              <w:spacing w:before="0" w:after="283"/>
              <w:jc w:val="center"/>
              <w:rPr>
                <w:sz w:val="20"/>
              </w:rPr>
            </w:pPr>
            <w:r>
              <w:rPr>
                <w:sz w:val="20"/>
              </w:rPr>
              <w:t>(Telephone Number)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20"/>
              </w:rPr>
            </w:pPr>
            <w:r>
              <w:rPr>
                <w:sz w:val="20"/>
              </w:rPr>
              <w:t>2.</w:t>
            </w:r>
          </w:p>
        </w:tc>
        <w:tc>
          <w:tcPr>
            <w:tcW w:w="9989" w:type="dxa"/>
            <w:tcBorders/>
            <w:vAlign w:val="center"/>
          </w:tcPr>
          <w:p>
            <w:pPr>
              <w:pStyle w:val="TableContents"/>
              <w:bidi w:val="0"/>
              <w:spacing w:before="0" w:after="283"/>
              <w:jc w:val="both"/>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tc>
      </w:tr>
    </w:tbl>
    <w:p>
      <w:pPr>
        <w:pStyle w:val="TextBody"/>
        <w:bidi w:val="0"/>
        <w:spacing w:before="0" w:after="0"/>
        <w:ind w:left="720" w:right="0" w:hanging="360"/>
        <w:jc w:val="both"/>
        <w:rPr>
          <w:caps w:val="false"/>
          <w:smallCaps w:val="false"/>
        </w:rPr>
      </w:pPr>
      <w:r>
        <w:rPr>
          <w:caps w:val="false"/>
          <w:smallCaps w:val="false"/>
        </w:rPr>
        <w:t> </w:t>
      </w:r>
    </w:p>
    <w:tbl>
      <w:tblPr>
        <w:tblW w:w="1220" w:type="dxa"/>
        <w:jc w:val="left"/>
        <w:tblInd w:w="0" w:type="dxa"/>
        <w:tblLayout w:type="fixed"/>
        <w:tblCellMar>
          <w:top w:w="0" w:type="dxa"/>
          <w:left w:w="0" w:type="dxa"/>
          <w:bottom w:w="0" w:type="dxa"/>
          <w:right w:w="0" w:type="dxa"/>
        </w:tblCellMar>
      </w:tblPr>
      <w:tblGrid>
        <w:gridCol w:w="75"/>
        <w:gridCol w:w="365"/>
        <w:gridCol w:w="230"/>
        <w:gridCol w:w="305"/>
        <w:gridCol w:w="24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Yes </w:t>
            </w:r>
          </w:p>
        </w:tc>
        <w:tc>
          <w:tcPr>
            <w:tcW w:w="230"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jc w:val="left"/>
              <w:rPr>
                <w:sz w:val="20"/>
              </w:rPr>
            </w:pPr>
            <w:r>
              <w:rPr>
                <w:sz w:val="20"/>
              </w:rPr>
              <w:t xml:space="preserve">No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20"/>
              </w:rPr>
            </w:pPr>
            <w:r>
              <w:rPr>
                <w:sz w:val="20"/>
              </w:rPr>
              <w:t>3.</w:t>
            </w:r>
          </w:p>
        </w:tc>
        <w:tc>
          <w:tcPr>
            <w:tcW w:w="9982" w:type="dxa"/>
            <w:tcBorders/>
            <w:vAlign w:val="center"/>
          </w:tcPr>
          <w:p>
            <w:pPr>
              <w:pStyle w:val="TableContents"/>
              <w:bidi w:val="0"/>
              <w:spacing w:before="0" w:after="283"/>
              <w:jc w:val="both"/>
              <w:rPr>
                <w:sz w:val="20"/>
              </w:rPr>
            </w:pPr>
            <w:r>
              <w:rPr>
                <w:sz w:val="20"/>
              </w:rPr>
              <w:t>Is it anticipated that any significant change in results of operations from the corresponding period for the last fiscal year will be reflected by the earnings statements to be included in the subject report or portion thereof ?</w:t>
            </w:r>
          </w:p>
        </w:tc>
      </w:tr>
    </w:tbl>
    <w:p>
      <w:pPr>
        <w:pStyle w:val="TextBody"/>
        <w:bidi w:val="0"/>
        <w:spacing w:before="0" w:after="0"/>
        <w:ind w:left="720" w:right="0" w:hanging="360"/>
        <w:jc w:val="both"/>
        <w:rPr>
          <w:caps w:val="false"/>
          <w:smallCaps w:val="false"/>
        </w:rPr>
      </w:pPr>
      <w:r>
        <w:rPr>
          <w:caps w:val="false"/>
          <w:smallCaps w:val="false"/>
        </w:rPr>
        <w:t> </w:t>
      </w:r>
    </w:p>
    <w:tbl>
      <w:tblPr>
        <w:tblW w:w="1220" w:type="dxa"/>
        <w:jc w:val="left"/>
        <w:tblInd w:w="0" w:type="dxa"/>
        <w:tblLayout w:type="fixed"/>
        <w:tblCellMar>
          <w:top w:w="0" w:type="dxa"/>
          <w:left w:w="0" w:type="dxa"/>
          <w:bottom w:w="0" w:type="dxa"/>
          <w:right w:w="0" w:type="dxa"/>
        </w:tblCellMar>
      </w:tblPr>
      <w:tblGrid>
        <w:gridCol w:w="75"/>
        <w:gridCol w:w="365"/>
        <w:gridCol w:w="230"/>
        <w:gridCol w:w="305"/>
        <w:gridCol w:w="24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Yes </w:t>
            </w:r>
          </w:p>
        </w:tc>
        <w:tc>
          <w:tcPr>
            <w:tcW w:w="230"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jc w:val="left"/>
              <w:rPr>
                <w:sz w:val="20"/>
              </w:rPr>
            </w:pPr>
            <w:r>
              <w:rPr>
                <w:sz w:val="20"/>
              </w:rPr>
              <w:t xml:space="preserve">No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Outlook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865"/>
        <w:gridCol w:w="320"/>
        <w:gridCol w:w="3680"/>
      </w:tblGrid>
      <w:tr>
        <w:trPr/>
        <w:tc>
          <w:tcPr>
            <w:tcW w:w="1865" w:type="dxa"/>
            <w:tcBorders/>
            <w:vAlign w:val="center"/>
          </w:tcPr>
          <w:p>
            <w:pPr>
              <w:pStyle w:val="TableContents"/>
              <w:bidi w:val="0"/>
              <w:spacing w:before="0" w:after="283"/>
              <w:jc w:val="left"/>
              <w:rPr>
                <w:sz w:val="20"/>
              </w:rPr>
            </w:pPr>
            <w:r>
              <w:rPr>
                <w:sz w:val="20"/>
              </w:rPr>
              <w:t>Date: August 17, 2026</w:t>
            </w:r>
          </w:p>
        </w:tc>
        <w:tc>
          <w:tcPr>
            <w:tcW w:w="320" w:type="dxa"/>
            <w:tcBorders/>
            <w:vAlign w:val="center"/>
          </w:tcPr>
          <w:p>
            <w:pPr>
              <w:pStyle w:val="TableContents"/>
              <w:bidi w:val="0"/>
              <w:spacing w:before="0" w:after="283"/>
              <w:jc w:val="left"/>
              <w:rPr>
                <w:sz w:val="20"/>
              </w:rPr>
            </w:pPr>
            <w:r>
              <w:rPr>
                <w:sz w:val="20"/>
              </w:rPr>
              <w:t>By:</w:t>
            </w:r>
          </w:p>
        </w:tc>
        <w:tc>
          <w:tcPr>
            <w:tcW w:w="368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Lawrence A. Kenyon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sz w:val="20"/>
              </w:rPr>
            </w:pPr>
            <w:r>
              <w:rPr>
                <w:sz w:val="20"/>
              </w:rPr>
              <w:t>Lawrence A. Kenyon,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716</Words>
  <Characters>3663</Characters>
  <CharactersWithSpaces>4400</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