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622399d2_8k.htm"/>
      <w:bookmarkStart w:id="1" w:name="kstm2622399d2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812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jc w:val="center"/>
        <w:rPr>
          <w:rFonts w:ascii="Times New Roman;Times;Serif" w:hAnsi="Times New Roman;Times;Serif"/>
          <w:b w:val="false"/>
          <w:i w:val="false"/>
          <w:caps w:val="false"/>
          <w:smallCaps w:val="false"/>
          <w:sz w:val="26"/>
        </w:rPr>
      </w:pPr>
      <w:r>
        <w:rPr>
          <w:rFonts w:ascii="Times New Roman;Times;Serif" w:hAnsi="Times New Roman;Times;Serif"/>
          <w:b/>
          <w:i w:val="false"/>
          <w:caps w:val="false"/>
          <w:smallCaps w:val="false"/>
          <w:sz w:val="26"/>
        </w:rPr>
        <w:t>Pursuant to Section 13 OR 15(d) of The Securities Exchange Act of 1934</w:t>
      </w:r>
      <w:r>
        <w:rPr>
          <w:rFonts w:ascii="Times New Roman;Times;Serif" w:hAnsi="Times New Roman;Times;Serif"/>
          <w:b w:val="false"/>
          <w:i w:val="false"/>
          <w:caps w:val="false"/>
          <w:smallCaps w:val="false"/>
          <w:sz w:val="26"/>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4_edei--EntityFileNumber_c20260812"/>
            <w:bookmarkEnd w:id="6"/>
            <w:r>
              <w:rPr>
                <w:b/>
              </w:rPr>
              <w:t>001-37759</w:t>
            </w:r>
          </w:p>
        </w:tc>
        <w:tc>
          <w:tcPr>
            <w:tcW w:w="3335" w:type="dxa"/>
            <w:tcBorders/>
            <w:vAlign w:val="center"/>
          </w:tcPr>
          <w:p>
            <w:pPr>
              <w:pStyle w:val="TableContents"/>
              <w:bidi w:val="0"/>
              <w:spacing w:before="0" w:after="283"/>
              <w:jc w:val="center"/>
              <w:rPr>
                <w:b/>
              </w:rPr>
            </w:pPr>
            <w:bookmarkStart w:id="7" w:name="xdx_90D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111 S. Wood Avenue,</w:t>
            </w:r>
            <w:r>
              <w:rPr>
                <w:rFonts w:ascii="Times New Roman;Times;Serif" w:hAnsi="Times New Roman;Times;Serif"/>
                <w:b w:val="false"/>
                <w:i w:val="false"/>
                <w:caps w:val="false"/>
                <w:smallCaps w:val="false"/>
                <w:sz w:val="20"/>
              </w:rPr>
              <w:t xml:space="preserve"> </w:t>
            </w:r>
            <w:bookmarkStart w:id="9" w:name="xdx_908_edei--EntityAddressAddressLine2_"/>
            <w:bookmarkEnd w:id="9"/>
            <w:r>
              <w:rPr>
                <w:rFonts w:ascii="Times New Roman;Times;Serif" w:hAnsi="Times New Roman;Times;Serif"/>
                <w:b/>
                <w:i w:val="false"/>
                <w:caps w:val="false"/>
                <w:smallCaps w:val="false"/>
                <w:sz w:val="20"/>
              </w:rPr>
              <w:t>Unit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Iselin, </w:t>
            </w:r>
            <w:bookmarkStart w:id="11" w:name="xdx_90D_edei--EntityAddressStateOrProvin"/>
            <w:bookmarkEnd w:id="11"/>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2" w:name="xdx_902_edei--EntityAddressPostalZipCode"/>
            <w:bookmarkEnd w:id="12"/>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E_edei--CityAreaCode_c20260812__20"/>
      <w:bookmarkEnd w:id="13"/>
      <w:r>
        <w:rPr>
          <w:rFonts w:ascii="Times New Roman;Times;Serif" w:hAnsi="Times New Roman;Times;Serif"/>
          <w:b/>
          <w:i w:val="false"/>
          <w:caps w:val="false"/>
          <w:smallCaps w:val="false"/>
          <w:sz w:val="20"/>
        </w:rPr>
        <w:t xml:space="preserve">609) </w:t>
      </w:r>
      <w:bookmarkStart w:id="14" w:name="xdx_906_edei--LocalPhoneNumber_c20260812"/>
      <w:bookmarkEnd w:id="14"/>
      <w:r>
        <w:rPr>
          <w:rFonts w:ascii="Times New Roman;Times;Serif" w:hAnsi="Times New Roman;Times;Serif"/>
          <w:b/>
          <w:i w:val="false"/>
          <w:caps w:val="false"/>
          <w:smallCaps w:val="false"/>
          <w:sz w:val="20"/>
        </w:rPr>
        <w:t>619-3990</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5" w:name="xdx_904_edei--WrittenCommunications_c202"/>
            <w:bookmarkEnd w:id="15"/>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6" w:name="xdx_909_edei--SolicitingMaterial_c202608"/>
            <w:bookmarkEnd w:id="16"/>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D_edei--PreCommencementTenderOffer"/>
            <w:bookmarkEnd w:id="17"/>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7_edei--PreCommencementIssuerTende"/>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940"/>
        <w:gridCol w:w="60"/>
        <w:gridCol w:w="1925"/>
        <w:gridCol w:w="60"/>
        <w:gridCol w:w="3050"/>
      </w:tblGrid>
      <w:tr>
        <w:trPr/>
        <w:tc>
          <w:tcPr>
            <w:tcW w:w="194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2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5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 xml:space="preserve">Name of Each Exchange </w:t>
              <w:br/>
              <w:t>on Which Registered</w:t>
            </w:r>
          </w:p>
        </w:tc>
      </w:tr>
      <w:tr>
        <w:trPr/>
        <w:tc>
          <w:tcPr>
            <w:tcW w:w="1940" w:type="dxa"/>
            <w:tcBorders/>
            <w:tcMar>
              <w:bottom w:w="0" w:type="dxa"/>
            </w:tcMar>
            <w:vAlign w:val="center"/>
          </w:tcPr>
          <w:p>
            <w:pPr>
              <w:pStyle w:val="TableContents"/>
              <w:bidi w:val="0"/>
              <w:spacing w:before="0" w:after="283"/>
              <w:jc w:val="center"/>
              <w:rPr/>
            </w:pPr>
            <w:bookmarkStart w:id="19" w:name="xdx_900_edei--Security12bTitle_c20260812"/>
            <w:bookmarkEnd w:id="19"/>
            <w:r>
              <w:rPr/>
              <w:t>Common Stock</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20" w:name="xdx_90A_edei--TradingSymbol_c20260812__2"/>
            <w:bookmarkEnd w:id="20"/>
            <w:r>
              <w:rPr/>
              <w:t>OTLK</w:t>
            </w:r>
          </w:p>
        </w:tc>
        <w:tc>
          <w:tcPr>
            <w:tcW w:w="60" w:type="dxa"/>
            <w:tcBorders/>
            <w:tcMar>
              <w:bottom w:w="0" w:type="dxa"/>
            </w:tcMar>
            <w:vAlign w:val="center"/>
          </w:tcPr>
          <w:p>
            <w:pPr>
              <w:pStyle w:val="TableContents"/>
              <w:bidi w:val="0"/>
              <w:spacing w:before="0" w:after="283"/>
              <w:jc w:val="center"/>
              <w:rPr/>
            </w:pPr>
            <w:r>
              <w:rPr/>
              <w:t> </w:t>
            </w:r>
          </w:p>
        </w:tc>
        <w:tc>
          <w:tcPr>
            <w:tcW w:w="3050" w:type="dxa"/>
            <w:tcBorders/>
            <w:tcMar>
              <w:bottom w:w="0" w:type="dxa"/>
            </w:tcMar>
            <w:vAlign w:val="center"/>
          </w:tcPr>
          <w:p>
            <w:pPr>
              <w:pStyle w:val="TableContents"/>
              <w:bidi w:val="0"/>
              <w:spacing w:before="0" w:after="283"/>
              <w:jc w:val="center"/>
              <w:rPr/>
            </w:pPr>
            <w:bookmarkStart w:id="21" w:name="xdx_909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Outlook Therapeutics, Inc. (the “Company”) entered into an underwriting agreement (the “Underwriting Agreement”) with Piper Sandler &amp; Co. and BTIG, LLC, as representatives of the several underwriters named therein (collectively, the “Underwriters”), relating to the public offering (the “Offering”) by the Company of (i) 55,555,556 shares of the Company’s common stock, par value $0.01 per share (the “Common Stock”), and (ii) accompanying warrants to purchase up to an aggregate of 55,555,556 shares of Common Stock (the “Warrants”) at a combined public offering price of $0.99 per share of Common Stock and accompanying Warrant. The shares of Common Stock and Warrants are immediately separable and will be issued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scheduled to close on or about August 14, 2026,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Underwriters an option for a period of 30 days to purchase up to 8,333,333 additional shares of Common Stock and/or Warrants to purchase up to 8,333,333 additional shares of Common Stock at the public offering price, less the underwriting discounts and commissions. On August 12, 2026, the Underwriters exercised such option with respect to the Warrants to purchase up to 8,333,333 additional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gross proceeds from the Offering will be approximately $55.0 million, before deducting the underwriting discounts and commissions and estimated offering expenses payable by the Company and excluding any exercise of the underwriter's option to purchase additional securities and assuming no exercise of the accompanying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have an initial exercise price per share of $1.10, subject to certain customary adjustments for recapitalizations, stock splits and similar actions. The Warrants will be exercisable immediately and will expire five years from the date of issuance. A holder (together with its affiliates and other attribution parties) may not exercise any portion of a Warrant to the extent that, immediately after giving effect to such exercise, the holder would own more than 4.99%, 9.99% or 19.99%, as applicable, of the Company’s outstanding Common Stock immediately after exercise, which percentage may be changed at the holder's election to a lower or higher percentage not in excess of 19.99% (if exceeding such percentage would result in a change of control under Nasdaq Listing Rule 5635(b) or any successor rule) upon 61 days’ notice to the Company subject to the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pursuant to the Company’s effective registration statement on Form S-3 (Registration Statement No. 333-278340) previously filed with the Securities and Exchange Commission (the “SEC”) and a prospectus supplement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by the Company, customary conditions to closing, indemnification obligations of the Company and the Underwriters, including for liabilities arising under the Securities Act of 1933, as amended, other obligations of the parties and termination provisions. The representations, warranties and covenants contained in the Underwriting Agreement were made only for the purposes of the Underwriting Agreement and as of specific dates, and were solely for the benefit of the parties to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GMS Ventures and Investments, the Company’s largest stockholder, purchased an aggregate of 2,525,252 shares of Common Stock and accompanying Warrants in the Offering. Robert Jahr, the Company’s Chief Executive Officer, and Lawrence Kenyon, the Company’s Chief Financial Officer, purchased an aggregate of 151,515 and 101,010 shares of Common Stock and accompanying Warrants in the Offering,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terms of the Underwriting Agreement and Warrants are each qualified in their entirety by reference to the Underwriting Agreement and form of Warrant, respectively, which are attached as Exhibit 1.1 and Exhibit 4.1 hereto, respectively,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Cooley LLP relating to the validity of the issuance and sale of the securities in the Offering is attached as Exhibit 5.1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without limitation, statements relating to the Company’s expectations regarding the Offering, the amount of proceeds expected from the Offering and the timing and the completion of the Offering. These forward-looking statements are based upon the Company’s current expectations. Actual results could differ materially from these forward-looking statements as a result of certain factors, including, without limitation, risks and uncertainties related to the satisfaction of customary closing conditions related to the Offering and other risks detailed in the Company’s filings with the SEC, including Exhibit 99.1 to the Current Report on Form 8-K filed with the SEC on August 12, 2026, as supplemented by subsequent reports the Company files with the SEC and in the prospectus supplement relating to the Offering. You are cautioned not to place undue reliance on these forward-looking statements, which speak only as of the date of this report. The Company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7"/>
        <w:gridCol w:w="60"/>
        <w:gridCol w:w="9278"/>
      </w:tblGrid>
      <w:tr>
        <w:trPr/>
        <w:tc>
          <w:tcPr>
            <w:tcW w:w="86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278"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67" w:type="dxa"/>
            <w:tcBorders/>
            <w:shd w:fill="FFFFFF" w:val="clear"/>
            <w:tcMar>
              <w:bottom w:w="0" w:type="dxa"/>
            </w:tcMar>
            <w:vAlign w:val="center"/>
          </w:tcPr>
          <w:p>
            <w:pPr>
              <w:pStyle w:val="TableContents"/>
              <w:bidi w:val="0"/>
              <w:spacing w:before="0" w:after="283"/>
              <w:jc w:val="center"/>
              <w:rPr/>
            </w:pPr>
            <w:hyperlink w:anchor="tm2622399d2_ex1-1.htm">
              <w:r>
                <w:rPr>
                  <w:rStyle w:val="InternetLink"/>
                  <w:rFonts w:ascii="Times New Roman;Times;Serif" w:hAnsi="Times New Roman;Times;Serif"/>
                  <w:sz w:val="20"/>
                </w:rPr>
                <w:t>1.1</w:t>
              </w:r>
            </w:hyperlink>
          </w:p>
        </w:tc>
        <w:tc>
          <w:tcPr>
            <w:tcW w:w="60" w:type="dxa"/>
            <w:tcBorders/>
            <w:shd w:fill="FFFFFF" w:val="clear"/>
            <w:tcMar>
              <w:bottom w:w="0" w:type="dxa"/>
            </w:tcMar>
            <w:vAlign w:val="center"/>
          </w:tcPr>
          <w:p>
            <w:pPr>
              <w:pStyle w:val="TableContents"/>
              <w:bidi w:val="0"/>
              <w:spacing w:before="0" w:after="283"/>
              <w:jc w:val="center"/>
              <w:rPr/>
            </w:pPr>
            <w:r>
              <w:rPr/>
              <w:t> </w:t>
            </w:r>
          </w:p>
        </w:tc>
        <w:tc>
          <w:tcPr>
            <w:tcW w:w="9278" w:type="dxa"/>
            <w:tcBorders/>
            <w:shd w:fill="FFFFFF" w:val="clear"/>
            <w:tcMar>
              <w:bottom w:w="0" w:type="dxa"/>
            </w:tcMar>
            <w:vAlign w:val="center"/>
          </w:tcPr>
          <w:p>
            <w:pPr>
              <w:pStyle w:val="TableContents"/>
              <w:bidi w:val="0"/>
              <w:spacing w:before="0" w:after="283"/>
              <w:jc w:val="left"/>
              <w:rPr/>
            </w:pPr>
            <w:hyperlink w:anchor="tm2622399d2_ex1-1.htm">
              <w:r>
                <w:rPr>
                  <w:rStyle w:val="InternetLink"/>
                  <w:rFonts w:ascii="Times New Roman;Times;Serif" w:hAnsi="Times New Roman;Times;Serif"/>
                  <w:sz w:val="20"/>
                </w:rPr>
                <w:t>Underwriting Agreement, dated August 12, 2026, by and among the Company, Piper Sandler &amp; Co. and BTIG, LLC, as representatives of the several underwriters named therein.</w:t>
              </w:r>
            </w:hyperlink>
          </w:p>
        </w:tc>
      </w:tr>
      <w:tr>
        <w:trPr/>
        <w:tc>
          <w:tcPr>
            <w:tcW w:w="867" w:type="dxa"/>
            <w:tcBorders/>
            <w:shd w:fill="FFFFFF" w:val="clear"/>
            <w:tcMar>
              <w:bottom w:w="0" w:type="dxa"/>
            </w:tcMar>
            <w:vAlign w:val="center"/>
          </w:tcPr>
          <w:p>
            <w:pPr>
              <w:pStyle w:val="TableContents"/>
              <w:bidi w:val="0"/>
              <w:spacing w:before="0" w:after="283"/>
              <w:jc w:val="center"/>
              <w:rPr/>
            </w:pPr>
            <w:hyperlink w:anchor="tm2622399d2_ex4-1.htm">
              <w:r>
                <w:rPr>
                  <w:rStyle w:val="InternetLink"/>
                  <w:rFonts w:ascii="Times New Roman;Times;Serif" w:hAnsi="Times New Roman;Times;Serif"/>
                  <w:sz w:val="20"/>
                </w:rPr>
                <w:t>4.1</w:t>
              </w:r>
            </w:hyperlink>
          </w:p>
        </w:tc>
        <w:tc>
          <w:tcPr>
            <w:tcW w:w="60" w:type="dxa"/>
            <w:tcBorders/>
            <w:shd w:fill="FFFFFF" w:val="clear"/>
            <w:tcMar>
              <w:bottom w:w="0" w:type="dxa"/>
            </w:tcMar>
            <w:vAlign w:val="center"/>
          </w:tcPr>
          <w:p>
            <w:pPr>
              <w:pStyle w:val="TableContents"/>
              <w:bidi w:val="0"/>
              <w:spacing w:before="0" w:after="283"/>
              <w:jc w:val="center"/>
              <w:rPr/>
            </w:pPr>
            <w:r>
              <w:rPr/>
              <w:t> </w:t>
            </w:r>
          </w:p>
        </w:tc>
        <w:tc>
          <w:tcPr>
            <w:tcW w:w="9278" w:type="dxa"/>
            <w:tcBorders/>
            <w:shd w:fill="FFFFFF" w:val="clear"/>
            <w:tcMar>
              <w:bottom w:w="0" w:type="dxa"/>
            </w:tcMar>
            <w:vAlign w:val="center"/>
          </w:tcPr>
          <w:p>
            <w:pPr>
              <w:pStyle w:val="TableContents"/>
              <w:bidi w:val="0"/>
              <w:spacing w:before="0" w:after="283"/>
              <w:jc w:val="left"/>
              <w:rPr/>
            </w:pPr>
            <w:hyperlink w:anchor="tm2622399d2_ex4-1.htm">
              <w:r>
                <w:rPr>
                  <w:rStyle w:val="InternetLink"/>
                  <w:rFonts w:ascii="Times New Roman;Times;Serif" w:hAnsi="Times New Roman;Times;Serif"/>
                  <w:sz w:val="20"/>
                </w:rPr>
                <w:t>Form of Warrant.</w:t>
              </w:r>
            </w:hyperlink>
          </w:p>
        </w:tc>
      </w:tr>
      <w:tr>
        <w:trPr/>
        <w:tc>
          <w:tcPr>
            <w:tcW w:w="867" w:type="dxa"/>
            <w:tcBorders/>
            <w:shd w:fill="FFFFFF" w:val="clear"/>
            <w:tcMar>
              <w:bottom w:w="0" w:type="dxa"/>
            </w:tcMar>
            <w:vAlign w:val="center"/>
          </w:tcPr>
          <w:p>
            <w:pPr>
              <w:pStyle w:val="TableContents"/>
              <w:bidi w:val="0"/>
              <w:spacing w:before="0" w:after="283"/>
              <w:jc w:val="center"/>
              <w:rPr/>
            </w:pPr>
            <w:hyperlink w:anchor="tm2622399d2_ex5-1.htm">
              <w:r>
                <w:rPr>
                  <w:rStyle w:val="InternetLink"/>
                  <w:rFonts w:ascii="Times New Roman;Times;Serif" w:hAnsi="Times New Roman;Times;Serif"/>
                  <w:sz w:val="20"/>
                </w:rPr>
                <w:t>5.1</w:t>
              </w:r>
            </w:hyperlink>
          </w:p>
        </w:tc>
        <w:tc>
          <w:tcPr>
            <w:tcW w:w="60" w:type="dxa"/>
            <w:tcBorders/>
            <w:shd w:fill="FFFFFF" w:val="clear"/>
            <w:tcMar>
              <w:bottom w:w="0" w:type="dxa"/>
            </w:tcMar>
            <w:vAlign w:val="center"/>
          </w:tcPr>
          <w:p>
            <w:pPr>
              <w:pStyle w:val="TableContents"/>
              <w:bidi w:val="0"/>
              <w:spacing w:before="0" w:after="283"/>
              <w:jc w:val="center"/>
              <w:rPr/>
            </w:pPr>
            <w:r>
              <w:rPr/>
              <w:t> </w:t>
            </w:r>
          </w:p>
        </w:tc>
        <w:tc>
          <w:tcPr>
            <w:tcW w:w="9278" w:type="dxa"/>
            <w:tcBorders/>
            <w:shd w:fill="FFFFFF" w:val="clear"/>
            <w:tcMar>
              <w:bottom w:w="0" w:type="dxa"/>
            </w:tcMar>
            <w:vAlign w:val="center"/>
          </w:tcPr>
          <w:p>
            <w:pPr>
              <w:pStyle w:val="TableContents"/>
              <w:bidi w:val="0"/>
              <w:spacing w:before="0" w:after="283"/>
              <w:jc w:val="left"/>
              <w:rPr/>
            </w:pPr>
            <w:hyperlink w:anchor="tm2622399d2_ex5-1.htm">
              <w:r>
                <w:rPr>
                  <w:rStyle w:val="InternetLink"/>
                  <w:rFonts w:ascii="Times New Roman;Times;Serif" w:hAnsi="Times New Roman;Times;Serif"/>
                  <w:sz w:val="20"/>
                </w:rPr>
                <w:t>Opinion of Cooley LLP.</w:t>
              </w:r>
            </w:hyperlink>
          </w:p>
        </w:tc>
      </w:tr>
      <w:tr>
        <w:trPr/>
        <w:tc>
          <w:tcPr>
            <w:tcW w:w="867" w:type="dxa"/>
            <w:tcBorders/>
            <w:shd w:fill="FFFFFF" w:val="clear"/>
            <w:tcMar>
              <w:bottom w:w="0" w:type="dxa"/>
            </w:tcMar>
            <w:vAlign w:val="center"/>
          </w:tcPr>
          <w:p>
            <w:pPr>
              <w:pStyle w:val="TableContents"/>
              <w:bidi w:val="0"/>
              <w:spacing w:before="0" w:after="283"/>
              <w:jc w:val="center"/>
              <w:rPr/>
            </w:pPr>
            <w:hyperlink w:anchor="tm2622399d2_ex5-1.htm">
              <w:r>
                <w:rPr>
                  <w:rStyle w:val="InternetLink"/>
                  <w:rFonts w:ascii="Times New Roman;Times;Serif" w:hAnsi="Times New Roman;Times;Serif"/>
                  <w:sz w:val="20"/>
                </w:rPr>
                <w:t>23.1</w:t>
              </w:r>
            </w:hyperlink>
          </w:p>
        </w:tc>
        <w:tc>
          <w:tcPr>
            <w:tcW w:w="60" w:type="dxa"/>
            <w:tcBorders/>
            <w:shd w:fill="FFFFFF" w:val="clear"/>
            <w:tcMar>
              <w:bottom w:w="0" w:type="dxa"/>
            </w:tcMar>
            <w:vAlign w:val="center"/>
          </w:tcPr>
          <w:p>
            <w:pPr>
              <w:pStyle w:val="TableContents"/>
              <w:bidi w:val="0"/>
              <w:spacing w:before="0" w:after="283"/>
              <w:jc w:val="center"/>
              <w:rPr/>
            </w:pPr>
            <w:r>
              <w:rPr/>
              <w:t> </w:t>
            </w:r>
          </w:p>
        </w:tc>
        <w:tc>
          <w:tcPr>
            <w:tcW w:w="9278" w:type="dxa"/>
            <w:tcBorders/>
            <w:shd w:fill="FFFFFF" w:val="clear"/>
            <w:tcMar>
              <w:bottom w:w="0" w:type="dxa"/>
            </w:tcMar>
            <w:vAlign w:val="center"/>
          </w:tcPr>
          <w:p>
            <w:pPr>
              <w:pStyle w:val="TableContents"/>
              <w:bidi w:val="0"/>
              <w:spacing w:before="0" w:after="283"/>
              <w:jc w:val="left"/>
              <w:rPr/>
            </w:pPr>
            <w:hyperlink w:anchor="tm2622399d2_ex5-1.htm">
              <w:r>
                <w:rPr>
                  <w:rStyle w:val="InternetLink"/>
                  <w:rFonts w:ascii="Times New Roman;Times;Serif" w:hAnsi="Times New Roman;Times;Serif"/>
                  <w:sz w:val="20"/>
                </w:rPr>
                <w:t>Consent of Cooley LLP (included in Exhibit 5.1).</w:t>
              </w:r>
            </w:hyperlink>
          </w:p>
        </w:tc>
      </w:tr>
      <w:tr>
        <w:trPr/>
        <w:tc>
          <w:tcPr>
            <w:tcW w:w="86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7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29" w:type="dxa"/>
        <w:jc w:val="left"/>
        <w:tblInd w:w="0" w:type="dxa"/>
        <w:tblLayout w:type="fixed"/>
        <w:tblCellMar>
          <w:top w:w="0" w:type="dxa"/>
          <w:left w:w="0" w:type="dxa"/>
          <w:bottom w:w="0" w:type="dxa"/>
          <w:right w:w="0" w:type="dxa"/>
        </w:tblCellMar>
      </w:tblPr>
      <w:tblGrid>
        <w:gridCol w:w="2765"/>
        <w:gridCol w:w="432"/>
        <w:gridCol w:w="2332"/>
      </w:tblGrid>
      <w:tr>
        <w:trPr/>
        <w:tc>
          <w:tcPr>
            <w:tcW w:w="276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rPr>
            </w:pPr>
            <w:r>
              <w:rPr>
                <w:b/>
              </w:rPr>
              <w:t>Outlook Therapeutics, Inc.</w:t>
            </w:r>
          </w:p>
        </w:tc>
      </w:tr>
      <w:tr>
        <w:trPr/>
        <w:tc>
          <w:tcPr>
            <w:tcW w:w="276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rFonts w:ascii="Times New Roman;Times;Serif" w:hAnsi="Times New Roman;Times;Serif"/>
                <w:sz w:val="20"/>
              </w:rPr>
              <w:t xml:space="preserve">Date: August 14, </w:t>
            </w:r>
            <w:r>
              <w:rPr/>
              <w:t>2026              </w:t>
            </w:r>
          </w:p>
        </w:tc>
        <w:tc>
          <w:tcPr>
            <w:tcW w:w="432" w:type="dxa"/>
            <w:tcBorders/>
            <w:vAlign w:val="center"/>
          </w:tcPr>
          <w:p>
            <w:pPr>
              <w:pStyle w:val="TableContents"/>
              <w:bidi w:val="0"/>
              <w:spacing w:before="0" w:after="283"/>
              <w:jc w:val="left"/>
              <w:rPr/>
            </w:pPr>
            <w:r>
              <w:rPr/>
              <w:t>By:</w:t>
            </w:r>
          </w:p>
        </w:tc>
        <w:tc>
          <w:tcPr>
            <w:tcW w:w="23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Lawrence A. Kenyon</w:t>
            </w:r>
          </w:p>
        </w:tc>
      </w:tr>
      <w:tr>
        <w:trPr/>
        <w:tc>
          <w:tcPr>
            <w:tcW w:w="276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2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A. Kenyon</w:t>
            </w:r>
          </w:p>
        </w:tc>
      </w:tr>
      <w:tr>
        <w:trPr/>
        <w:tc>
          <w:tcPr>
            <w:tcW w:w="276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233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2399d2_ex1-1.htm"/>
      <w:bookmarkStart w:id="24" w:name="kstm2622399d2_ex11"/>
      <w:bookmarkEnd w:id="23"/>
      <w:bookmarkEnd w:id="24"/>
      <w:r>
        <w:rPr>
          <w:b/>
        </w:rPr>
        <w:t>Exhibit 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55,555,556 Shares of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up to 55,555,556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Piper Sandler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BTIG,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Piper Sandler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39th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BTIG,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 Bush Street, 9th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with Piper Sandler &amp; Co. (“</w:t>
      </w:r>
      <w:r>
        <w:rPr>
          <w:rFonts w:ascii="Times New Roman;Times;Serif" w:hAnsi="Times New Roman;Times;Serif"/>
          <w:b w:val="false"/>
          <w:i w:val="false"/>
          <w:caps w:val="false"/>
          <w:smallCaps w:val="false"/>
          <w:sz w:val="20"/>
          <w:u w:val="single"/>
        </w:rPr>
        <w:t>Piper Sandler</w:t>
      </w:r>
      <w:r>
        <w:rPr>
          <w:rFonts w:ascii="Times New Roman;Times;Serif" w:hAnsi="Times New Roman;Times;Serif"/>
          <w:b w:val="false"/>
          <w:i w:val="false"/>
          <w:caps w:val="false"/>
          <w:smallCaps w:val="false"/>
          <w:sz w:val="20"/>
        </w:rPr>
        <w:t>”) and BTIG, LLC (“</w:t>
      </w:r>
      <w:r>
        <w:rPr>
          <w:rFonts w:ascii="Times New Roman;Times;Serif" w:hAnsi="Times New Roman;Times;Serif"/>
          <w:b w:val="false"/>
          <w:i w:val="false"/>
          <w:caps w:val="false"/>
          <w:smallCaps w:val="false"/>
          <w:sz w:val="20"/>
          <w:u w:val="single"/>
        </w:rPr>
        <w:t>BTIG</w:t>
      </w:r>
      <w:r>
        <w:rPr>
          <w:rFonts w:ascii="Times New Roman;Times;Serif" w:hAnsi="Times New Roman;Times;Serif"/>
          <w:b w:val="false"/>
          <w:i w:val="false"/>
          <w:caps w:val="false"/>
          <w:smallCaps w:val="false"/>
          <w:sz w:val="20"/>
        </w:rPr>
        <w:t xml:space="preserve">”) and each of the other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which term shall also include any underwriter substituted as hereinafter provided in Section 10 hereof), for which Piper Sandler and BTIG are acting as representatives (in such capacity,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with respect to (i) the sale by the Company and the purchase by the Underwriters, acting severally and not jointly, of the respective numbers of (a) shares of common stock, par value $0.01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Firm Shares</w:t>
      </w:r>
      <w:r>
        <w:rPr>
          <w:rFonts w:ascii="Times New Roman;Times;Serif" w:hAnsi="Times New Roman;Times;Serif"/>
          <w:b w:val="false"/>
          <w:i w:val="false"/>
          <w:caps w:val="false"/>
          <w:smallCaps w:val="false"/>
          <w:sz w:val="20"/>
        </w:rPr>
        <w:t>”) and (b) warrants to purchase up to the number of shares of Common Stock set forth in Schedule A hereto (the “</w:t>
      </w:r>
      <w:r>
        <w:rPr>
          <w:rFonts w:ascii="Times New Roman;Times;Serif" w:hAnsi="Times New Roman;Times;Serif"/>
          <w:b w:val="false"/>
          <w:i w:val="false"/>
          <w:caps w:val="false"/>
          <w:smallCaps w:val="false"/>
          <w:sz w:val="20"/>
          <w:u w:val="single"/>
        </w:rPr>
        <w:t>Firm Warrants</w:t>
      </w:r>
      <w:r>
        <w:rPr>
          <w:rFonts w:ascii="Times New Roman;Times;Serif" w:hAnsi="Times New Roman;Times;Serif"/>
          <w:b w:val="false"/>
          <w:i w:val="false"/>
          <w:caps w:val="false"/>
          <w:smallCaps w:val="false"/>
          <w:sz w:val="20"/>
        </w:rPr>
        <w:t>”, and together with the Firm Shares, the “</w:t>
      </w:r>
      <w:r>
        <w:rPr>
          <w:rFonts w:ascii="Times New Roman;Times;Serif" w:hAnsi="Times New Roman;Times;Serif"/>
          <w:b w:val="false"/>
          <w:i w:val="false"/>
          <w:caps w:val="false"/>
          <w:smallCaps w:val="false"/>
          <w:sz w:val="20"/>
          <w:u w:val="single"/>
        </w:rPr>
        <w:t>Initial Securities</w:t>
      </w:r>
      <w:r>
        <w:rPr>
          <w:rFonts w:ascii="Times New Roman;Times;Serif" w:hAnsi="Times New Roman;Times;Serif"/>
          <w:b w:val="false"/>
          <w:i w:val="false"/>
          <w:caps w:val="false"/>
          <w:smallCaps w:val="false"/>
          <w:sz w:val="20"/>
        </w:rPr>
        <w:t>”) at an exercise price set forth on Schedule B-1 hereto and (ii) the grant by the Company to the Underwriters, acting severally and not jointly, of the option described in Section 2(b) hereof to purchase all or any part of additional shares of Common Stock (the “</w:t>
      </w:r>
      <w:r>
        <w:rPr>
          <w:rFonts w:ascii="Times New Roman;Times;Serif" w:hAnsi="Times New Roman;Times;Serif"/>
          <w:b w:val="false"/>
          <w:i w:val="false"/>
          <w:caps w:val="false"/>
          <w:smallCaps w:val="false"/>
          <w:sz w:val="20"/>
          <w:u w:val="single"/>
        </w:rPr>
        <w:t>Option Shares</w:t>
      </w:r>
      <w:r>
        <w:rPr>
          <w:rFonts w:ascii="Times New Roman;Times;Serif" w:hAnsi="Times New Roman;Times;Serif"/>
          <w:b w:val="false"/>
          <w:i w:val="false"/>
          <w:caps w:val="false"/>
          <w:smallCaps w:val="false"/>
          <w:sz w:val="20"/>
        </w:rPr>
        <w:t>” and together with the Firm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and/or warrants to purchase Common Stock (the “</w:t>
      </w:r>
      <w:r>
        <w:rPr>
          <w:rFonts w:ascii="Times New Roman;Times;Serif" w:hAnsi="Times New Roman;Times;Serif"/>
          <w:b w:val="false"/>
          <w:i w:val="false"/>
          <w:caps w:val="false"/>
          <w:smallCaps w:val="false"/>
          <w:sz w:val="20"/>
          <w:u w:val="single"/>
        </w:rPr>
        <w:t>Option Warrants</w:t>
      </w:r>
      <w:r>
        <w:rPr>
          <w:rFonts w:ascii="Times New Roman;Times;Serif" w:hAnsi="Times New Roman;Times;Serif"/>
          <w:b w:val="false"/>
          <w:i w:val="false"/>
          <w:caps w:val="false"/>
          <w:smallCaps w:val="false"/>
          <w:sz w:val="20"/>
        </w:rPr>
        <w:t>” and, together with the Firm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The shares of Common Stock issuable upon exercise of the Warrants are herein referred to as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and together with the Shares and the Warrants,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understands that the Underwriters propose to make a public offering of the Securities as soon as the Representatives deem advisable after this Underwriting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been executed and delivered. The Firm Shares and Warrants shall be sold together as a fixed combination, each consisting of (i) one share of Common Stock and (ii) one Warrant to purchase one share of Common Stock. The terms of the Warrants are set forth in the form of the Warrant attached hereto as 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shelf registration statement on Form S-3 (No. 333-278340), covering the public offering and sale of certain securities, including the Securities, under the Securities Act of 1933, as amended (the “</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and the rules and regulations of the Commission promulgated thereunder (the “</w:t>
      </w:r>
      <w:r>
        <w:rPr>
          <w:rFonts w:ascii="Times New Roman;Times;Serif" w:hAnsi="Times New Roman;Times;Serif"/>
          <w:b w:val="false"/>
          <w:i w:val="false"/>
          <w:caps w:val="false"/>
          <w:smallCaps w:val="false"/>
          <w:sz w:val="20"/>
          <w:u w:val="single"/>
        </w:rPr>
        <w:t>1933 Act Regulations</w:t>
      </w:r>
      <w:r>
        <w:rPr>
          <w:rFonts w:ascii="Times New Roman;Times;Serif" w:hAnsi="Times New Roman;Times;Serif"/>
          <w:b w:val="false"/>
          <w:i w:val="false"/>
          <w:caps w:val="false"/>
          <w:smallCaps w:val="false"/>
          <w:sz w:val="20"/>
        </w:rPr>
        <w:t>”), which shelf registration statement was declared effective on April 5, 2024.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in connection with the offer and sale of the Securities is herein called the “</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6:30 P.M., New York City time, on August 12, 2026 or such other time as agreed by the Company and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Times;Serif" w:hAnsi="Times New Roman;Times;Serif"/>
          <w:b w:val="false"/>
          <w:i w:val="false"/>
          <w:caps w:val="false"/>
          <w:smallCaps w:val="false"/>
          <w:sz w:val="20"/>
          <w:u w:val="single"/>
        </w:rPr>
        <w:t>Schedule B-1</w:t>
      </w:r>
      <w:r>
        <w:rPr>
          <w:rFonts w:ascii="Times New Roman;Times;Serif" w:hAnsi="Times New Roman;Times;Serif"/>
          <w:b w:val="false"/>
          <w:i w:val="false"/>
          <w:caps w:val="false"/>
          <w:smallCaps w:val="false"/>
          <w:sz w:val="20"/>
        </w:rPr>
        <w:t xml:space="preserve"> hereto, all considered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Free Writing Prospectus” means any “issuer free writing prospectus,” as defined in Rule 433 of the 1933 Act Regulations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including without limitation any “free writing prospectus” (as defined in Rule 405 of the 1933 Act Regulations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General Use Free Writing Prospectus” means any Issuer Free Writing Prospectus that is intended for general distribution to prospective investors (other than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electronic road show,” as defined in Rule 433 (a “</w:t>
      </w:r>
      <w:r>
        <w:rPr>
          <w:rFonts w:ascii="Times New Roman;Times;Serif" w:hAnsi="Times New Roman;Times;Serif"/>
          <w:b w:val="false"/>
          <w:i w:val="false"/>
          <w:caps w:val="false"/>
          <w:smallCaps w:val="false"/>
          <w:sz w:val="20"/>
          <w:u w:val="single"/>
        </w:rPr>
        <w:t>Bona Fide Electronic Road Show</w:t>
      </w:r>
      <w:r>
        <w:rPr>
          <w:rFonts w:ascii="Times New Roman;Times;Serif" w:hAnsi="Times New Roman;Times;Serif"/>
          <w:b w:val="false"/>
          <w:i w:val="false"/>
          <w:caps w:val="false"/>
          <w:smallCaps w:val="false"/>
          <w:sz w:val="20"/>
        </w:rPr>
        <w:t xml:space="preserve">”)), as evidenced by its being specified in </w:t>
      </w:r>
      <w:r>
        <w:rPr>
          <w:rFonts w:ascii="Times New Roman;Times;Serif" w:hAnsi="Times New Roman;Times;Serif"/>
          <w:b w:val="false"/>
          <w:i w:val="false"/>
          <w:caps w:val="false"/>
          <w:smallCaps w:val="false"/>
          <w:sz w:val="20"/>
          <w:u w:val="single"/>
        </w:rPr>
        <w:t>Schedule B-2</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Issuer Limited Use Free Writing Prospectus” means any Issuer Free Writing Prospectus that is not an Issuer General Use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Testing-the-Waters Communication” means any oral or written communication with potential investors undertaken in reliance on Rule 163B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Written Testing-the-Waters Communication” means any Testing-the-Waters Communication that is a written communication within the meaning of Rule 405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and the rules and regulations of the Commission promulgated thereunder (collectively, the “</w:t>
      </w:r>
      <w:r>
        <w:rPr>
          <w:rFonts w:ascii="Times New Roman;Times;Serif" w:hAnsi="Times New Roman;Times;Serif"/>
          <w:b w:val="false"/>
          <w:i w:val="false"/>
          <w:caps w:val="false"/>
          <w:smallCaps w:val="false"/>
          <w:sz w:val="20"/>
          <w:u w:val="single"/>
        </w:rPr>
        <w:t>1934 Act Regulations</w:t>
      </w:r>
      <w:r>
        <w:rPr>
          <w:rFonts w:ascii="Times New Roman;Times;Serif" w:hAnsi="Times New Roman;Times;Serif"/>
          <w:b w:val="false"/>
          <w:i w:val="false"/>
          <w:caps w:val="false"/>
          <w:smallCaps w:val="false"/>
          <w:sz w:val="20"/>
        </w:rPr>
        <w:t>”), incorporated or deemed to be incorporated by reference in the Registration Statement, such preliminary prospectus or the Prospectus, as the case may be, at or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Representations and Warranties by the Company</w:t>
      </w:r>
      <w:r>
        <w:rPr>
          <w:rFonts w:ascii="Times New Roman;Times;Serif" w:hAnsi="Times New Roman;Times;Serif"/>
          <w:b w:val="false"/>
          <w:i w:val="false"/>
          <w:caps w:val="false"/>
          <w:smallCaps w:val="false"/>
          <w:sz w:val="20"/>
        </w:rPr>
        <w:t>. The Company represents and warrants to each Underwriter as of the date hereof, the Applicable Time, the Closing Time (as defined below) and any Date of Delivery (as defined below), and agrees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Registration Statement and Prospectuses</w:t>
      </w:r>
      <w:r>
        <w:rPr>
          <w:rFonts w:ascii="Times New Roman;Times;Serif" w:hAnsi="Times New Roman;Times;Serif"/>
          <w:b w:val="false"/>
          <w:i w:val="false"/>
          <w:caps w:val="false"/>
          <w:smallCaps w:val="false"/>
          <w:sz w:val="20"/>
        </w:rPr>
        <w:t>.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Registration Statement and any post-effective amendment thereto, at the time of its effectiveness and at each deemed effective date with respect to the Underwriters pursuant to Rule 430B(f)(2) under the 1933 Act Regulations, the Applicable Time, the Closing Time and any Date of Delivery,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1934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Accurate Disclosure</w:t>
      </w:r>
      <w:r>
        <w:rPr>
          <w:rFonts w:ascii="Times New Roman;Times;Serif" w:hAnsi="Times New Roman;Times;Serif"/>
          <w:b w:val="false"/>
          <w:i w:val="false"/>
          <w:caps w:val="false"/>
          <w:smallCaps w:val="false"/>
          <w:sz w:val="20"/>
        </w:rPr>
        <w:t>. Neither the Registration Statement nor any amendment thereto, at its effective time or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the Closing Time or at any Date of Delivery,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the first and second sentences of the sixth paragraph under the heading “Underwriting—Stabilization” and the information under the heading “Underwriting—Electronic Distribution” in each case contained in the Prospectus (collectively, the “</w:t>
      </w:r>
      <w:r>
        <w:rPr>
          <w:rFonts w:ascii="Times New Roman;Times;Serif" w:hAnsi="Times New Roman;Times;Serif"/>
          <w:b w:val="false"/>
          <w:i w:val="false"/>
          <w:caps w:val="false"/>
          <w:smallCaps w:val="false"/>
          <w:sz w:val="20"/>
          <w:u w:val="single"/>
        </w:rPr>
        <w:t>Underwriter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 xml:space="preserve">.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 Except for the Issuer Free Writing Prospectuses, if any, identified in </w:t>
      </w:r>
      <w:r>
        <w:rPr>
          <w:rFonts w:ascii="Times New Roman;Times;Serif" w:hAnsi="Times New Roman;Times;Serif"/>
          <w:b w:val="false"/>
          <w:i w:val="false"/>
          <w:caps w:val="false"/>
          <w:smallCaps w:val="false"/>
          <w:sz w:val="20"/>
          <w:u w:val="single"/>
        </w:rPr>
        <w:t>Schedule B-2</w:t>
      </w:r>
      <w:r>
        <w:rPr>
          <w:rFonts w:ascii="Times New Roman;Times;Serif" w:hAnsi="Times New Roman;Times;Serif"/>
          <w:b w:val="false"/>
          <w:i w:val="false"/>
          <w:caps w:val="false"/>
          <w:smallCaps w:val="false"/>
          <w:sz w:val="20"/>
        </w:rPr>
        <w:t xml:space="preserve"> hereto, and electronic road shows, if any, each furnished to the Representatives before first use, the Company has not prepared, used or referred to, and will not, without the prior consent of the Representatives, prepare, use or refer to, any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Testing-the-Waters Materials</w:t>
      </w:r>
      <w:r>
        <w:rPr>
          <w:rFonts w:ascii="Times New Roman;Times;Serif" w:hAnsi="Times New Roman;Times;Serif"/>
          <w:b w:val="false"/>
          <w:i w:val="false"/>
          <w:caps w:val="false"/>
          <w:smallCaps w:val="false"/>
          <w:sz w:val="20"/>
        </w:rPr>
        <w:t xml:space="preserve">. The Company (A) has not engaged in any Testing-the-Waters Communication other than Testing-the-Waters Communications with the consent of the Representatives with entities that are, or which the Company has a reasonable basis to believe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Times New Roman;Times;Serif" w:hAnsi="Times New Roman;Times;Serif"/>
          <w:b w:val="false"/>
          <w:i w:val="false"/>
          <w:caps w:val="false"/>
          <w:smallCaps w:val="false"/>
          <w:sz w:val="20"/>
          <w:u w:val="single"/>
        </w:rPr>
        <w:t>Schedule B-3</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Company Not Ineligible Issuer</w:t>
      </w:r>
      <w:r>
        <w:rPr>
          <w:rFonts w:ascii="Times New Roman;Times;Serif" w:hAnsi="Times New Roman;Times;Serif"/>
          <w:b w:val="false"/>
          <w:i w:val="false"/>
          <w:caps w:val="false"/>
          <w:smallCaps w:val="false"/>
          <w:sz w:val="20"/>
        </w:rPr>
        <w:t xml:space="preserve">. At the time of filing the Registration Statement and any post-effective amendment thereto, at the earliest time thereafter that the Company or another offering participant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the General Disclosure Package and the Prospectus, if any, together with the related notes and schedules, fairly present,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1933 Act, 1934 Act and the 1934 Act Regulations, and in conformity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during the periods involved, except as may be expressly stated in the notes thereto, and except in the case of unaudited financial statements, which are subject to normal and recurring year-end adjustments and do not contain certain footnotes as permitted by the applicable rules of the Commission; there are no financial statements (historical or pro forma) that are required to be included or incorporated by reference in the Registration Statement, the Time of the General Disclosure Package and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the General Disclosure Package and the Prospectus; and all disclosures contained or incorporated by reference in the Registration Statement, the General Disclosure Package and the Prospectus and any free writing prospectuses, if any, regarding “non-GAAP financial measures” (as such term is defined by the rules and regulations of the Commission) comply with Regulation G of the 1934 Act and Item 10 of Regulation S-K under the 1933 Act, to the extent applicable. The financial data set forth in each of the Registration Statement, the General Disclosure Package and the Prospectus fairly present, in all material respects, the information set forth therein on a basis consistent with that of the audited financial statements contained in the Registration Statement, the General Disclosure Package and the Prospectus. The interactive data in eXtensible Business Reporting Language included or incorporated by reference in the Registration Statement and the Prospectus fairly presents, in all material respects, the information called for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and each of its Subsidiaries are duly organized, validly existing as a corporation or other entity and in good standing under the laws of their respective jurisdictions of organization. The Company and each of its Subsidiaries are duly licensed or qualified as a foreign corporation or other entity for transaction of business and in good standing (to the extent such status is so recognized) under the laws of each other jurisdiction in which their respective ownership or lease of property or the conduct of their respective businesses requires such license or qualification, and have all corporate or other organizational power and authority necessary to own or hold their respective properties and to conduct their respective businesses as described in the Registration Statement, the General Disclosure Package and the Prospectus, and as currently carried on, except where the failure to be so qualified or in good standing or have such power or authority would not, individually or in the aggregate, reasonably be expected to have a material adverse effect on or affecting the assets, business, operations, prospects, earnings, properties, financial condition, stockholders’ equity or results of operations of the Company and the Subsidiaries taken as a whole, or prevent or materially interfere with consummation of the transactions contemplated hereby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significant subsidiaries (collectively,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(as such term is defined in Rule 1-02 of Regulation S-X promulgated by the Commission) that are required to be listed on Exhibit 21.1 pursuant to Item 601 of Regulation S-K are set forth on Exhibit 21.1 of the Company’s Annual Report on Form 10-K for the year ended September 30, 2025.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Except as set forth in the Registration Statement, the General Disclosure Package and the Prospectus,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No Default or Violation</w:t>
      </w:r>
      <w:r>
        <w:rPr>
          <w:rFonts w:ascii="Times New Roman;Times;Serif" w:hAnsi="Times New Roman;Times;Serif"/>
          <w:b w:val="false"/>
          <w:i w:val="false"/>
          <w:caps w:val="false"/>
          <w:smallCaps w:val="false"/>
          <w:sz w:val="20"/>
        </w:rPr>
        <w:t>. Neither the Company nor any of its Subsidiaries is (i) in violation of its certificate of incorporation, charter or by-laws or any other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or the Warrants, nor the issuance, offering or sale of the Securities, nor the consummation of any of the transactions contemplated herein or therein, nor the compliance by the Company with the terms and provisions hereof or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have been waived and (ii) such conflicts, breaches and defaults that would not reasonably be expected to have a Material Adverse Effect; nor will such action result (x) in any violation of the provisions of the organizational or governing documents of the Company, or (y) in any violation of the provisions of any statute or any order, rule or regulation applicable to the Company or of any Governmental Authority having jurisdiction over the Company other than, with respect to clause (y) only, any violation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Subsequent to the respective dates as of which information is given in the Registration Statement, the General Disclosure Package, the Prospectus and the free writing prospectuses, if any (including any document deemed incorporated by reference therein), there has not been (i) any Material Adverse Effect or the occurrence of any development that would reasonably be expected to have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capital stock of the Company have been validly issued, are fully paid and nonassessable and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option plans, or changes in the number of outstanding shares of shares of Common Stock due to the issuance of shares upon the exercise or conversion of securities exercisable for, or convertible into, Common Stock outstanding on the date hereof or any anti-dilution provisions of such outstanding securities) and such authorized capital stock conforms in all material respects to the description thereof set forth in the Registration Statement, the General Disclosure Package and the Prospectus. The description of the securities of the Company in the Registration Statement, the General Disclosure Package and the Prospectus is complete and accurate in all material respects. Except as disclosed in or contemplated by the Registration Statement, the General Disclosure Package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requisite corporate power and authority to enter into this Agreement and perform the transactions contemplated hereby and thereby. The execution and delivery by the Company of, and the performance by the Company of its obligations under, this Agreement or the Warrants will not contravene any provision of (i)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except that, in the case of clause (i) and (iii) as would not, individually or in the aggregate, reasonably be expected to have a Material Adverse Effect, and no consent, approval, authorization or order of, or qualification with, any governmental body, agency or court is required for the performance by the Company of its obligations under this Agreement or the Warrants except such as may be required by the securities or Blue Sky laws of the various states in connection with the offer and sale of the Securities. This Agreement has been duly authorized, executed and delivered by the Company and is a legal, valid and binding agreement of the Company enforceable against the Company in accordance with its terms, except to the extent that enforceability may be limited by bankruptcy, insolvency, reorganization, moratorium or similar laws affecting creditors’ rights generally and by general equitable principles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Authorization of the Securities</w:t>
      </w:r>
      <w:r>
        <w:rPr>
          <w:rFonts w:ascii="Times New Roman;Times;Serif" w:hAnsi="Times New Roman;Times;Serif"/>
          <w:b w:val="false"/>
          <w:i w:val="false"/>
          <w:caps w:val="false"/>
          <w:smallCaps w:val="false"/>
          <w:sz w:val="20"/>
        </w:rPr>
        <w:t>. The Securities have been duly authorized for issuance and sale pursuant to this Agreement and, when issued and delivered by the Company against payment therefor pursuant to this Agreement, will be duly and validly issued, fully paid and nonassessable, free and clear of any pledge, mortgage, hypothecation, lien, encumbrance, security interest or other claim, including any statutory or contractual preemptive rights, resale rights, rights of first refusal or other similar rights, and the Common Stock is registered pursuant to Section 12 of the 1934 Act. The Securities, when issued, will conform in all material respects to the description thereof set forth in or incorporated into this Agreement, including Exhibit B hereto, the Registration Statement, the General Disclosure Package and the Prospectus. The Warrants have been duly authorized and, when executed and delivered by the Company in accordance with this Agreement, will be valid and legally binding agreements of the Company, enforceable against the Company in accordance with their terms except as the enforcement thereof may be limited by applicable bankruptcy, insolvency, reorganization, moratorium or other similar laws relating to or affecting the rights and remedies of creditors or by general equitable principles. The maximum number of Warrant Shares to be issued by the Company upon exercise of the Warrants in accordance therewith have been duly authorized and have been or will be reserved for issuance upon exercise of the Warrants in a number sufficient to meet the current exercise requirements. The Warrant Shares, when issued and delivered upon exercise of the Warrants in accordance therewith, will be validly issued, fully paid and non-assessable, and the issuance of the Warrant Shares is not subject to any preemptive or similar rights not otherwise validly waived or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Governmental Authority is required for the execution, delivery and performance by the Company of this Agreement, the issuance and sale by the Company of the Securities, except for such consents, approvals, authorizations, orders and registrations or qualifications as may be required under applicable state securities laws or by the by-laws and rules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NASDAQ Stock Market (the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in connection with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Except as set forth in the Registration Statement, the General Disclosure Package and the Prospectus, (i) no person, as such term is defined in Rule 1-02 of Regulation S-X promulgated under the 1933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Common Stock, and (iv) no Person has the right, contractual or otherwise, to require the Company to register under the 1933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Securities as contemplated thereby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Independent Public Accounting Firms</w:t>
      </w:r>
      <w:r>
        <w:rPr>
          <w:rFonts w:ascii="Times New Roman;Times;Serif" w:hAnsi="Times New Roman;Times;Serif"/>
          <w:b w:val="false"/>
          <w:i w:val="false"/>
          <w:caps w:val="false"/>
          <w:smallCaps w:val="false"/>
          <w:sz w:val="20"/>
        </w:rPr>
        <w:t>. KPMG LLP (the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whose report on the consolidated financial statements of the Company is filed with the Commission as part of the Company’s most recent Annual Report on Form 10-K filed with the Commission and incorporated by reference into the Registration Statement, the General Disclosure Package and the Prospectus, is and, during the periods covered by its report, was an independent registered public accounting firm within the meaning of the 1933 Act and the Public Company Accounting Oversight Board (United States). To the Company’s knowledge, the Accountant is not in violation of the auditor independence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Except as set forth in the Registration Statement, the General Disclosure Package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if determined adversely to the Company or its Subsidiaries, would reasonably be expected to have a Material Adverse Effect and, to the Company’s knowledge, no such actions, suits, proceedings, audits or investigations are threatened or contemplated by any Governmental Authority or threatened by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Consents and Permits</w:t>
      </w:r>
      <w:r>
        <w:rPr>
          <w:rFonts w:ascii="Times New Roman;Times;Serif" w:hAnsi="Times New Roman;Times;Serif"/>
          <w:b w:val="false"/>
          <w:i w:val="false"/>
          <w:caps w:val="false"/>
          <w:smallCaps w:val="false"/>
          <w:sz w:val="20"/>
        </w:rPr>
        <w:t>. As to each product subject to the jurisdiction of the U.S.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or any non-U.S. counterpart that is manufactured, packaged, labeled, tested, distributed, sold, and/or marketed by the Company or any of its Subsidiaries (each such product, a “</w:t>
      </w:r>
      <w:r>
        <w:rPr>
          <w:rFonts w:ascii="Times New Roman;Times;Serif" w:hAnsi="Times New Roman;Times;Serif"/>
          <w:b w:val="false"/>
          <w:i w:val="false"/>
          <w:caps w:val="false"/>
          <w:smallCaps w:val="false"/>
          <w:sz w:val="20"/>
          <w:u w:val="single"/>
        </w:rPr>
        <w:t>Product</w:t>
      </w:r>
      <w:r>
        <w:rPr>
          <w:rFonts w:ascii="Times New Roman;Times;Serif" w:hAnsi="Times New Roman;Times;Serif"/>
          <w:b w:val="false"/>
          <w:i w:val="false"/>
          <w:caps w:val="false"/>
          <w:smallCaps w:val="false"/>
          <w:sz w:val="20"/>
        </w:rPr>
        <w:t>”), such Product is being manufactured, packaged, labeled, tested, distributed, sold and/or marketed by the Company or its Subsidiaries in material compliance with all applicable Health Care Laws (as defined below) relating to registration, investigational use, premarket clearance, licensure, or application approval, good manufacturing practices, good laboratory practices, good clinical practices, product listing, quotas, labeling, advertising, record keeping and filing of reports.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 (ii) withdraws its approval of, requests the recall, suspension, or seizure of, or withdraws or orders the withdrawal of advertising or sales promotional materials relating to, any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reasonably be expected to have a Material Adverse Effect. The properties, business and operations of the Company have been and are being conducted in all material respects in accordance with all applicable Health Care Laws. The Company has not been informed by the FDA or any non-U.S. counterpart that the FDA or any non-U.S. counterpart will prohibit the marketing, sale, license or use in the United States or in any other territory any product proposed to be developed, produced or marketed by the Company or any Subsidiary nor has the FDA or any non-U.S. counterpart expressed any concern as to approving or clearing for marketing any product being developed or proposed to be developed by the Company or any Subsidiary. For purposes of this Agreement, “</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Payments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(42 U.S.C. Section 1320d et seq.), the exclusion law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healthcare information; (iv) Medicare (Title XVIII of the Social Security Act); (v) Medicaid (Title XIX of the Social Security Act); and (vi) any and all other applicable health care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 Neither the Company nor any of its Subsidiaries has failed to file with the applicable Governmental Authority (including the FDA or any foreign, federal, state or local Governmental Authority performing functions similar to those performed by the FDA) any required filing, declaration, listing, registration, report or submission, except for such failures that, individually or in the aggregate, would not reasonably be expected to have a Material Adverse Effect; all such filings, declarations, listings, registrations, reports or submissions were in material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 The Company has operated and currently is, in all material respects, in compliance with all applicable Health Care Laws. The Company has no knowledge of any studies, tests or trials not described in the Registration Statement, the General Disclosure Package and the Prospectus the results of which reasonably call into question in any material respect the results of the studies, tests and trials described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own, possess, license or have other rights to use, or could obtain on commercially reasonable terms,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the General Disclosure Package and the Prospectus (i) there are no rights of third parties to any such Intellectual Property owned by the Company and its Subsidiaries, except for licenses granted in the ordinary course to third parties, or that could not, individually or in the aggregate, reasonably be expected to result in a Material Adverse Effect;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or the equivalent in any other jurisdiction, has been commenced against any patent or patent application described in the Registration Statement, the General Disclosure Package and the Prospectus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Clinical Studies</w:t>
      </w:r>
      <w:r>
        <w:rPr>
          <w:rFonts w:ascii="Times New Roman;Times;Serif" w:hAnsi="Times New Roman;Times;Serif"/>
          <w:b w:val="false"/>
          <w:i w:val="false"/>
          <w:caps w:val="false"/>
          <w:smallCaps w:val="false"/>
          <w:sz w:val="20"/>
        </w:rPr>
        <w:t>. The preclinical studies and tests and clinical trials described in the Registration Statement, the General Disclosure Package and the Prospectus were, and, if still pending, are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Registration Statement, the General Disclosure Package and the Prospectus are accurate and complete in all material respects; the Company is not aware of any tests, studies or trials not described in the Registration Statement, the General Disclosure Package and the Prospectus, the results of which reasonably call into question the results of the tests, studies and trials described in the Registration Statement, the General Disclosure Package and the Prospectus; and the Company has not received any written notice or correspondence from the FDA or any foreign, state or local Governmental Authority exercising comparable authority or any institutional review board or comparable authority requiring the termination, suspension, clinical hold or material modification of any tests, studies or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any of its Subsidiaries has taken, directly or indirectly, any action designed to or that might cause or result in stabilization or manipulation of the price of the Common Stock or of any other securities, including any “reference security” (as defined in Rule 100 of Regulation M under the 1934 Act (“</w:t>
      </w:r>
      <w:r>
        <w:rPr>
          <w:rFonts w:ascii="Times New Roman;Times;Serif" w:hAnsi="Times New Roman;Times;Serif"/>
          <w:b w:val="false"/>
          <w:i w:val="false"/>
          <w:caps w:val="false"/>
          <w:smallCaps w:val="false"/>
          <w:sz w:val="20"/>
          <w:u w:val="single"/>
        </w:rPr>
        <w:t>Regulation M</w:t>
      </w:r>
      <w:r>
        <w:rPr>
          <w:rFonts w:ascii="Times New Roman;Times;Serif" w:hAnsi="Times New Roman;Times;Serif"/>
          <w:b w:val="false"/>
          <w:i w:val="false"/>
          <w:caps w:val="false"/>
          <w:smallCaps w:val="false"/>
          <w:sz w:val="20"/>
        </w:rPr>
        <w:t>”)) with respect to the Common Stock, whether to facilitate the sale or resale of the Securities or otherwise, and has taken no action which would directly or indirectly violate Regulation M or applicable foreign securities laws and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Underwriters or legal counsel for the Underwriters for any legal, tax or accounting advice in connection with the offering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would not, individually, or in the aggregate, reasonably be expected to have a Material Adverse Effect, the Company and each of its Subsidiaries have filed all federal, state, local and foreign income and other tax returns that have been required to be filed and paid all taxes shown thereon through the date hereof, to the extent that such taxes have become due and are not being contested in good faith. Except as otherwise disclosed in or contemplated by the Registration Statement, the General Disclosure Package or the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asserted or threatened against it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Except as set forth in the Registration Statement, the General Disclosure Package or the Prospectus, the Company and its Subsidiaries have good and marketable title in fee simple to all items of real property owned by them, good and valid title to all personal property described in the Registration Statement, the General Disclosure Package or the Prospectus as being owned by them that are material to the businesses of the Company or such Subsidiary, in each case free and clear of all mortgages, liens, encumbrances and claims, except those matters that (i) do not materially interfere with the use made and proposed to be made of such property by the Company and any of its Subsidiaries or (ii) would not, individually or in the aggregate, reasonably be expected to have a Material Adverse Effect. Any real or personal property described in the Registration Statement, the General Disclosure Package or the Prospectus as being leased by the Company and any of its Subsidiaries is held by them under valid, existing and enforceable leases, free and clear of all mortgages, liens, encumbrances and claims, except those matters that (A) do not materially interfere with the use made or proposed to be made of such property by the Company or any of its Subsidiaries or (B) would not reasonably be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as described in the Registration Statement, the General Disclosure Package or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Registration Statement, General Disclosure Package or Prospectus). The Company has established disclosure controls and procedures (as defined in 1934 Act Regulations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1933 Act) or, to the Company’s knowledge, in other factors that could significantly affect the Company’s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The principal executive officer and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Neither the Company nor any of the Subsidiaries has incurred any liability for any finder’s fees, brokerage commissions or similar payments in connection with the transactions herein contemplated, except as may otherwise exist with respect to 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Labor Disputes and Matters</w:t>
      </w:r>
      <w:r>
        <w:rPr>
          <w:rFonts w:ascii="Times New Roman;Times;Serif" w:hAnsi="Times New Roman;Times;Serif"/>
          <w:b w:val="false"/>
          <w:i w:val="false"/>
          <w:caps w:val="false"/>
          <w:smallCaps w:val="false"/>
          <w:sz w:val="20"/>
        </w:rPr>
        <w:t>. Neither the Company or any of its Subsidiaries employs any person represented by a union or collective bargaining unit. No labor disturbance by or dispute with employees of the Company or any of its Subsidiaries exists or, to the knowledge of the Company, is threatened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of the Subsidiaries is, or will be, either after receipt of payment for the Securities or after the application of the proceeds therefrom as described under “Use of Proceeds” in the Registration Statement, the General Disclosure Package or the Prospectus, required to register as an “investment company” or an entity “controlled” by an “investment company,” as such terms are defined in the Investment Company Act of 1940, as amended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its Subsidiaries are and have been conducted at all times in material compliance with applicable financial record keeping and reporting requirements of applicable law, including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Governmental Authority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knowledge of the Company, each material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 Each of the material employee benefit plans of the Company complies in all material respects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Each financial or operational projection or other “forward-looking statement” (as defined by Section 27A of the 1933 Act or Section 21E of the 1934 Act, or as defined by any other applicable securities laws) contained in the Registration Statement, the General Disclosure Package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Securities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carry, or are covered by, insurance in such amounts and covering such risks as the Company and each of its Subsidiaries reasonably believe are adequate for the conduct of their business and as is customary for companies engaged in similar businesses in similar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(xxxviii)   </w:t>
      </w:r>
      <w:r>
        <w:rPr>
          <w:rFonts w:ascii="Times New Roman;Times;Serif" w:hAnsi="Times New Roman;Times;Serif"/>
          <w:b w:val="false"/>
          <w:i w:val="false"/>
          <w:caps w:val="false"/>
          <w:smallCaps w:val="false"/>
          <w:sz w:val="20"/>
          <w:u w:val="single"/>
        </w:rPr>
        <w:t>Lending Relationship</w:t>
      </w:r>
      <w:r>
        <w:rPr>
          <w:rFonts w:ascii="Times New Roman;Times;Serif" w:hAnsi="Times New Roman;Times;Serif"/>
          <w:b w:val="false"/>
          <w:i w:val="false"/>
          <w:caps w:val="false"/>
          <w:smallCaps w:val="false"/>
          <w:sz w:val="20"/>
        </w:rPr>
        <w:t>. 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(xxxix)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The Company has not offered, or caused any underwriter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(ii)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(i) The Company represents that, to the best of its knowledge, neither the Company nor any of its Subsidiaries (collectively, the “</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or, any director, officer, employee, agent, affiliate or representative of the Entity, is a government, individual, or entity (in this paragraph (xl),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owned or controlled by a Person that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authorities, including designation on OFAC’s Specially Designated Nationals and Blocked Persons List, OFAC’s Foreign Sanctions Evaders List or other similar applicable legislation or rules (as amended,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that broadly prohibit dealings with that country or territory (including, without limitation, the so-called Donetsk People’s Republic, the so-called Luhansk People’s Republic, the Crimea Region of Ukraine, the non-government controlled areas of the Zaporizhzhia and Kherson Regions of Ukraine (or any other Covered Region of Ukraine identified pursuant to Executive Order 14065), Cuba, Iran, North Korea and Syria (before July 1, 2025)) (the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Entity represents and covenants that it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 is a Sanctioned Country;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Entity represents and covenants that, since April 24, 2019, it has not engaged in, is not now engaging in, and will not engage in, any dealings or transactions with any Person, or in any country or territory, that at the time of the dealing or transaction is or was the subject of Sanctions or is or was a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the Company and its Subsidiaries: (i)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except as would not, individually or in the aggregate, reasonably be expected to have a Material Adverse Effect; (ii) has not received any FDA Form 483, notice of adverse finding, warning letter, untitled letter or other correspondence or notice from the FDA or any other Governmental Authority alleging or asserting noncompliance with any Applicable Laws or any licenses, certificates, approvals, clearances, authorizations, permits and supplements or amendments thereto required by any such Applicable Laws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(iii) possesses all material Authorizations and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Authorizations and has no knowledge that any such Governmental Authority is considering such action;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post-sale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Common Stock is listed on the Nasdaq Capital Market of the NASDAQ, and the Company has taken no action designed to, or likely to have the effect of, terminating the registration of the Common Stock under the Exchange Act or delisting the Common Stock from the Nasdaq Capital Market. Except as set forth in the Registration Statement, the General Disclosure Package or the Prospectus, the Company has not received any notification that the Commission or the NASDAQ is contemplating terminating such registration or listing. To the Company’s knowledge, it is in compliance with all applicable listing requirements of the Nasdaq Capital Market, except as disclosed in the Registration Statement, the General Disclosure Package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(xliii)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Securities is true, complete, correct and compliant with FINRA’s rules in all material respects and any letters, filings or other supplemental information provided to FINRA pursuant to FINRA Rules is true, complete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(xliv)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The Company and its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and, to the knowledge of the Company, free and clear of all material bugs, errors, defects, Trojan horses, time bombs, malware and other corruptants. The Company and its Subsidiaries have implemented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and federal data privacy and security laws and regulations, including without limitation HIPAA, and the Company and its Subsidiaries are in compliance with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the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The Company and its Subsidiaries have, to the knowledge of the Company,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(xlvi)           </w:t>
      </w:r>
      <w:r>
        <w:rPr>
          <w:rFonts w:ascii="Times New Roman;Times;Serif" w:hAnsi="Times New Roman;Times;Serif"/>
          <w:b w:val="false"/>
          <w:i w:val="false"/>
          <w:caps w:val="false"/>
          <w:smallCaps w:val="false"/>
          <w:sz w:val="20"/>
          <w:u w:val="single"/>
        </w:rPr>
        <w:t>Related Party Disclosure</w:t>
      </w:r>
      <w:r>
        <w:rPr>
          <w:rFonts w:ascii="Times New Roman;Times;Serif" w:hAnsi="Times New Roman;Times;Serif"/>
          <w:b w:val="false"/>
          <w:i w:val="false"/>
          <w:caps w:val="false"/>
          <w:smallCaps w:val="false"/>
          <w:sz w:val="20"/>
        </w:rPr>
        <w:t>. No relationship, direct or indirect, exists between or among the Company, on the one hand, and the directors, officers, shareholders, customers or suppliers of the Company, on the other hand, that is required to be described in the Registration Statement, the General Disclosure Package or the Prospectus which is not so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or any of its Subsidiaries and delivered to any Underwriter or to counsel for the Underwriters in connection with the offering, or the purchase and sale, of the Securities shall be deemed a representation and warranty by the Company to each Underwriter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reasonable basis for making each of the representations set forth in this Section 1.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Sale and Delivery to Underwriters;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Initial Securities</w:t>
      </w:r>
      <w:r>
        <w:rPr>
          <w:rFonts w:ascii="Times New Roman;Times;Serif" w:hAnsi="Times New Roman;Times;Serif"/>
          <w:b w:val="false"/>
          <w:i w:val="false"/>
          <w:caps w:val="false"/>
          <w:smallCaps w:val="false"/>
          <w:sz w:val="20"/>
        </w:rPr>
        <w:t xml:space="preserve">.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purchase price set forth in </w:t>
      </w:r>
      <w:r>
        <w:rPr>
          <w:rFonts w:ascii="Times New Roman;Times;Serif" w:hAnsi="Times New Roman;Times;Serif"/>
          <w:b w:val="false"/>
          <w:i w:val="false"/>
          <w:caps w:val="false"/>
          <w:smallCaps w:val="false"/>
          <w:sz w:val="20"/>
          <w:u w:val="single"/>
        </w:rPr>
        <w:t>Schedule B-1</w:t>
      </w:r>
      <w:r>
        <w:rPr>
          <w:rFonts w:ascii="Times New Roman;Times;Serif" w:hAnsi="Times New Roman;Times;Serif"/>
          <w:b w:val="false"/>
          <w:i w:val="false"/>
          <w:caps w:val="false"/>
          <w:smallCaps w:val="false"/>
          <w:sz w:val="20"/>
        </w:rPr>
        <w:t xml:space="preserve">, that number of Firm Shares set forth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name of such Underwriter, plus any additional number of Firm Shares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Option Securities</w:t>
      </w:r>
      <w:r>
        <w:rPr>
          <w:rFonts w:ascii="Times New Roman;Times;Serif" w:hAnsi="Times New Roman;Times;Serif"/>
          <w:b w:val="false"/>
          <w:i w:val="false"/>
          <w:caps w:val="false"/>
          <w:smallCaps w:val="false"/>
          <w:sz w:val="20"/>
        </w:rPr>
        <w:t>. In addition, on the basis of the representations and warranties herein contained and subject to the terms and conditions herein set forth, the Company grants an option to the Underwriters, severally and not jointly, to purchase up to an additional 8,333,333 Shares and/or Warrants to purchase up to 8,333,333 additional shares of Common Stock (collectively, the “</w:t>
      </w:r>
      <w:r>
        <w:rPr>
          <w:rFonts w:ascii="Times New Roman;Times;Serif" w:hAnsi="Times New Roman;Times;Serif"/>
          <w:b w:val="false"/>
          <w:i w:val="false"/>
          <w:caps w:val="false"/>
          <w:smallCaps w:val="false"/>
          <w:sz w:val="20"/>
          <w:u w:val="single"/>
        </w:rPr>
        <w:t>Option Securities</w:t>
      </w:r>
      <w:r>
        <w:rPr>
          <w:rFonts w:ascii="Times New Roman;Times;Serif" w:hAnsi="Times New Roman;Times;Serif"/>
          <w:b w:val="false"/>
          <w:i w:val="false"/>
          <w:caps w:val="false"/>
          <w:smallCaps w:val="false"/>
          <w:sz w:val="20"/>
        </w:rPr>
        <w:t xml:space="preserve">”), in each case, at the price per Share and/or price per Warrant, respectively, set forth in </w:t>
      </w:r>
      <w:r>
        <w:rPr>
          <w:rFonts w:ascii="Times New Roman;Times;Serif" w:hAnsi="Times New Roman;Times;Serif"/>
          <w:b w:val="false"/>
          <w:i w:val="false"/>
          <w:caps w:val="false"/>
          <w:smallCaps w:val="false"/>
          <w:sz w:val="20"/>
          <w:u w:val="single"/>
        </w:rPr>
        <w:t>Schedule B-1</w:t>
      </w:r>
      <w:r>
        <w:rPr>
          <w:rFonts w:ascii="Times New Roman;Times;Serif" w:hAnsi="Times New Roman;Times;Serif"/>
          <w:b w:val="false"/>
          <w:i w:val="false"/>
          <w:caps w:val="false"/>
          <w:smallCaps w:val="false"/>
          <w:sz w:val="20"/>
        </w:rPr>
        <w:t>, less an amount per share equal to any dividends or distributions declared by the Company and payable on the Firm Shares and Firm Warrants but not payable on the Option Shares and Option Warrants, respectively. The option hereby granted may be exercised for 30 days after the date hereof and may be exercised in whole or in part at any time from time to time upon notice by the Representatives to the Company setting forth the number of Option Shares and/or Option Warrants as to which the several Underwriters are then exercising the option and the time and date of payment and delivery for such Option Securities. Any such time and date of delivery (a “</w:t>
      </w:r>
      <w:r>
        <w:rPr>
          <w:rFonts w:ascii="Times New Roman;Times;Serif" w:hAnsi="Times New Roman;Times;Serif"/>
          <w:b w:val="false"/>
          <w:i w:val="false"/>
          <w:caps w:val="false"/>
          <w:smallCaps w:val="false"/>
          <w:sz w:val="20"/>
          <w:u w:val="single"/>
        </w:rPr>
        <w:t>Date of Delivery</w:t>
      </w:r>
      <w:r>
        <w:rPr>
          <w:rFonts w:ascii="Times New Roman;Times;Serif" w:hAnsi="Times New Roman;Times;Serif"/>
          <w:b w:val="false"/>
          <w:i w:val="false"/>
          <w:caps w:val="false"/>
          <w:smallCaps w:val="false"/>
          <w:sz w:val="20"/>
        </w:rPr>
        <w:t>”) shall be determined by the Representatives, but shall not be later than seven full business days after the exercise of said option, nor in any event prior to the Closing Time. If the option is exercised as to all or any portion of the Option Shares and/or Option Warrants, each of the Underwriters, acting severally and not jointly, will purchase that proportion of the total number of Option Shares and/or Warrants then being purchased which the number of Firm Shares set forth in Schedule A opposite the name of such Underwriter bears to the total number of Firm Shares, subject, in each case, to such adjustments as the Representatives in their sole discretion shall make to eliminate any sales or purchases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Payment</w:t>
      </w:r>
      <w:r>
        <w:rPr>
          <w:rFonts w:ascii="Times New Roman;Times;Serif" w:hAnsi="Times New Roman;Times;Serif"/>
          <w:b w:val="false"/>
          <w:i w:val="false"/>
          <w:caps w:val="false"/>
          <w:smallCaps w:val="false"/>
          <w:sz w:val="20"/>
        </w:rPr>
        <w:t>. Payment of the purchase price for, and delivery of certificates or security entitlements for, the Initial Securities shall be made at the offices of Paul Hastings LLP, The MetLife Building, 200 Park Avenue, New York, New York 10166, or at such other place as shall be agreed upon by the Representatives and the Company, at 9:00 A.M. (New York City time) on August 14, 2026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Times New Roman;Times;Serif" w:hAnsi="Times New Roman;Times;Serif"/>
          <w:b w:val="false"/>
          <w:i w:val="false"/>
          <w:caps w:val="false"/>
          <w:smallCaps w:val="false"/>
          <w:sz w:val="20"/>
          <w:u w:val="single"/>
        </w:rPr>
        <w:t>Closing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that any or all of the Option Shares and/or Option Warrants are purchased by the Underwriters, payment of the purchase price for, and delivery of certificates or security entitlements for, such Option Shares and/or Option Warrants shall be made at the above-mentioned offices, or at such other place as shall be agreed upon by the Representatives and the Company, on each Date of Delivery as specified in the notice from the Representatives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 deliver, or cause to be delivered through the facilities of Depositary Trust Company (“DTC”) unless the Representatives shall otherwise instruct, to the Representatives for the accounts of the several Underwriters, the Firm Shares, and (ii) deliver, or cause to be delivered, to the purchasers thereof the Firm Warrants in accordance with the Underwriters’ instructions to be sold by them, in each case at the Closing Time, against release of a wire transfer of immediately available funds for the amount of the purchase price therefor. The Company shall (i) deliver, or cause to be delivered through the facilities of DTC unless the Representatives shall otherwise instruct, to the Representatives for the accounts of the several Underwriters, the Option Shares, and (ii) deliver, or cause to be delivered, to the purchasers thereof the Option Warrants in accordance with the Underwriters’ instructions to be sold by them, in each case at the Closing Time or the applicable Date of Delivery, as the case may be, against the release of a wire transfer of immediately available funds for the amount of the purchase price therefor. Delivery of the Shares shall be made by credit to the accounts designated by the Representatives through DTC’s full fast transfer or DWAC programs. If the Representatives so elect, the Shares shall be registered in such names and denominations as the Representatives shall have requested at least one full business day prior to the Closing Time (or the applicable Date of Delivery, as the case may be) and shall be made available for inspection on the business day preceding the Closing Time (or the applicable Date of Delivery, as the case may be) at a location in New York City as the Representatives may designate; provided, however, that if the Company, upon the instruction of the Representatives, registers the Warrants in the name of any person or entity to whom any Underwriter intends to sell such Warrants, then such Underwriter shall have the right to thereafter request the re-registration of such Warrants (and the Company shall be required to re-register such Warrants ) in the name of any other person or entity (it being understood that such re-registration is intended to permit an Underwriter to resell such Warrants in the event that the person or entity to whom such Underwriter originally intended to sell such Warrants shall fail to pay the purchase price of such Warrants). Time shall be of the essence, and delivery at the time and place specified in this Agreement is a further condition to the obligations of the Underwriters. In the event that the Firm Shares (and Option Shares, if elected by the Representatives) are not delivered to the Representatives by 2:30 p.m., New York City time, at the Closing Time (and the Date of Delivery, if elected by the Representatives), the Company will return (or will instruct its custodian to return) payment of the full purchase price to the Representatives’ agent, Pershing LLC, via same day funds by 4:30 p.m., New York City time. The Company shall remain liable to Pershing LLC for the full amount of the purchase price and any costs associated with recovering the purchase price until the full amount has been received by Pershing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Compliance with Securities Regulations and Commission Requests</w:t>
      </w:r>
      <w:r>
        <w:rPr>
          <w:rFonts w:ascii="Times New Roman;Times;Serif" w:hAnsi="Times New Roman;Times;Serif"/>
          <w:b w:val="false"/>
          <w:i w:val="false"/>
          <w:caps w:val="false"/>
          <w:smallCaps w:val="false"/>
          <w:sz w:val="20"/>
        </w:rPr>
        <w:t>. The Company, subject to Section 3(b), will comply with the requirements of Rule 430B,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Continued Compliance with Securities Laws</w:t>
      </w:r>
      <w:r>
        <w:rPr>
          <w:rFonts w:ascii="Times New Roman;Times;Serif" w:hAnsi="Times New Roman;Times;Serif"/>
          <w:b w:val="false"/>
          <w:i w:val="false"/>
          <w:caps w:val="false"/>
          <w:smallCaps w:val="false"/>
          <w:sz w:val="20"/>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the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Delivery of Registration Statements</w:t>
      </w:r>
      <w:r>
        <w:rPr>
          <w:rFonts w:ascii="Times New Roman;Times;Serif" w:hAnsi="Times New Roman;Times;Serif"/>
          <w:b w:val="false"/>
          <w:i w:val="false"/>
          <w:caps w:val="false"/>
          <w:smallCaps w:val="false"/>
          <w:sz w:val="20"/>
        </w:rPr>
        <w:t>. The Company has furnished or will deliver to the Representatives and counsel for the Underwriters, upon request, 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Representatives, upon request,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Delivery of Prospectuses</w:t>
      </w:r>
      <w:r>
        <w:rPr>
          <w:rFonts w:ascii="Times New Roman;Times;Serif" w:hAnsi="Times New Roman;Times;Serif"/>
          <w:b w:val="false"/>
          <w:i w:val="false"/>
          <w:caps w:val="false"/>
          <w:smallCaps w:val="false"/>
          <w:sz w:val="20"/>
        </w:rPr>
        <w:t>.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Blue Sky Qualifications</w:t>
      </w:r>
      <w:r>
        <w:rPr>
          <w:rFonts w:ascii="Times New Roman;Times;Serif" w:hAnsi="Times New Roman;Times;Serif"/>
          <w:b w:val="false"/>
          <w:i w:val="false"/>
          <w:caps w:val="false"/>
          <w:smallCaps w:val="false"/>
          <w:sz w:val="20"/>
        </w:rPr>
        <w:t>. The Company will use its reasonable best efforts, in cooperation with the Underwriters, to qualify the Securities for offering 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Rule 158</w:t>
      </w:r>
      <w:r>
        <w:rPr>
          <w:rFonts w:ascii="Times New Roman;Times;Serif" w:hAnsi="Times New Roman;Times;Serif"/>
          <w:b w:val="false"/>
          <w:i w:val="false"/>
          <w:caps w:val="false"/>
          <w:smallCaps w:val="false"/>
          <w:sz w:val="20"/>
        </w:rPr>
        <w:t>. The Company will timely file such reports pursuant to the 1934 Act and 1934 Act Regulations as are necessary in order to make generally available to its securityholders as soon as practicable an earning statement for the purposes of, and to provide to the Underwriters the benefits contemplated by, the last paragraph of Section 11(a) of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Company will use the net proceeds received by it from the sale of the Securities in all material respects in the manner specified in the Registration Statement, the General Disclosure Package and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Listing</w:t>
      </w:r>
      <w:r>
        <w:rPr>
          <w:rFonts w:ascii="Times New Roman;Times;Serif" w:hAnsi="Times New Roman;Times;Serif"/>
          <w:b w:val="false"/>
          <w:i w:val="false"/>
          <w:caps w:val="false"/>
          <w:smallCaps w:val="false"/>
          <w:sz w:val="20"/>
        </w:rPr>
        <w:t>. The Company will use its reasonable best efforts to effect and maintain the listing of the Common Stock (including the Shares and the Warrant Shares)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Restriction on Sale of Securities</w:t>
      </w:r>
      <w:r>
        <w:rPr>
          <w:rFonts w:ascii="Times New Roman;Times;Serif" w:hAnsi="Times New Roman;Times;Serif"/>
          <w:b w:val="false"/>
          <w:i w:val="false"/>
          <w:caps w:val="false"/>
          <w:smallCaps w:val="false"/>
          <w:sz w:val="20"/>
        </w:rPr>
        <w:t>. During a period of 60 days from the date of the Prospectus, the Company will not, 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including, for the avoidance of doubt, the issuance by the Company of the Warrant Shares upon the exercise of the Warrants; (B) the issuance of shares of Common Stock or options to purchase shares of Common Stock or restricted stock units or similar equity securities, or the issuance of shares of Common Stock upon exercise of options, settlement of restricted stock units or similar equity securities, pursuant to any options, share bonus or other share plan or arrangement pursuant to an incentive plan in effect on the date hereof and described in the Registration Statement, the General Disclosure Package and the Prospectus; (C) filing a registration statement on Form S-8 in respect of the issuance, vesting, exercise or settlement of equity awards to officers or directors granted or to be granted pursuant to an incentive plan in effect on the date hereof and described in the Registration Statement, General Disclosure Package and the Prospectus; (D) the issuance of any shares of Common Stock upon the exercise of an option or warrant or upon the conversion of a convertible security outstanding on the date hereof and referred to in the Registration Statement, the General Disclosure Package and the Prospectus; and (E) the issuance of Common Stock or Related Securities in connection with an acquisition, business combination, any collaboration, licensing or joint venture or other strategic transaction involving the Company (including the filing of a registration statement on Form S-4 or other appropriate form with respect thereto) so long as the purpose of such issuance is not solely for capital raising and provided that the aggregate number of shares of Common Stock or Related Securities that the Company may issue or agree to issue pursuant to this clause (E) shall not exceed 5% of the total number of shares of Common Stock issued and outstanding immediately following the completion of the transactions contemplated by this Agreement. For purposes of the foregoing, “Related Securities” shall mean any options or warrants or other rights to acquire Common Stock or any securities exchangeable or exercisable for or convertible into Common Stock, or to acquire other securities or rights ultimately exchangeable or exercisable for, or convertible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Reporting Requirements</w:t>
      </w:r>
      <w:r>
        <w:rPr>
          <w:rFonts w:ascii="Times New Roman;Times;Serif" w:hAnsi="Times New Roman;Times;Serif"/>
          <w:b w:val="false"/>
          <w:i w:val="false"/>
          <w:caps w:val="false"/>
          <w:smallCaps w:val="false"/>
          <w:sz w:val="20"/>
        </w:rPr>
        <w:t>.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Issuer Free Writing Prospectuses</w:t>
      </w:r>
      <w:r>
        <w:rPr>
          <w:rFonts w:ascii="Times New Roman;Times;Serif" w:hAnsi="Times New Roman;Times;Serif"/>
          <w:b w:val="false"/>
          <w:i w:val="false"/>
          <w:caps w:val="false"/>
          <w:smallCaps w:val="false"/>
          <w:sz w:val="20"/>
        </w:rPr>
        <w:t xml:space="preserve">. The Company agrees that, unless it obtains the prior written consent of 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Times New Roman;Times;Serif" w:hAnsi="Times New Roman;Times;Serif"/>
          <w:b w:val="false"/>
          <w:i w:val="false"/>
          <w:caps w:val="false"/>
          <w:smallCaps w:val="false"/>
          <w:sz w:val="20"/>
          <w:u w:val="single"/>
        </w:rPr>
        <w:t>Schedule B-2</w:t>
      </w:r>
      <w:r>
        <w:rPr>
          <w:rFonts w:ascii="Times New Roman;Times;Serif" w:hAnsi="Times New Roman;Times;Serif"/>
          <w:b w:val="false"/>
          <w:i w:val="false"/>
          <w:caps w:val="false"/>
          <w:smallCaps w:val="false"/>
          <w:sz w:val="20"/>
        </w:rPr>
        <w:t xml:space="preserve">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Testing-the-Waters Materials</w:t>
      </w:r>
      <w:r>
        <w:rPr>
          <w:rFonts w:ascii="Times New Roman;Times;Serif" w:hAnsi="Times New Roman;Times;Serif"/>
          <w:b w:val="false"/>
          <w:i w:val="false"/>
          <w:caps w:val="false"/>
          <w:smallCaps w:val="false"/>
          <w:sz w:val="20"/>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shd w:fill="FFFFFF" w:val="clear"/>
        </w:rPr>
        <w:t>Reservation of Shares</w:t>
      </w:r>
      <w:r>
        <w:rPr>
          <w:rFonts w:ascii="Times New Roman;Times;Serif" w:hAnsi="Times New Roman;Times;Serif"/>
          <w:b w:val="false"/>
          <w:i w:val="false"/>
          <w:caps w:val="false"/>
          <w:smallCaps w:val="false"/>
          <w:sz w:val="20"/>
          <w:shd w:fill="FFFFFF" w:val="clear"/>
        </w:rPr>
        <w:t>. The Company shall, at all times while any Warrants are outstanding, reserve and keep available out of the aggregate of its authorized but unissued and otherwise unreserved shares of Common Stock, solely for the purpose of enabling it to issue Warrant Shares upon exercise of such Warrants, the number of Warrant Shares that are initially issuable and deliverable upon the exercise of the then-outstanding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shd w:fill="FFFFFF" w:val="clear"/>
        </w:rPr>
        <w:t>Warrant Commissions</w:t>
      </w:r>
      <w:r>
        <w:rPr>
          <w:rFonts w:ascii="Times New Roman;Times;Serif" w:hAnsi="Times New Roman;Times;Serif"/>
          <w:b w:val="false"/>
          <w:i w:val="false"/>
          <w:caps w:val="false"/>
          <w:smallCaps w:val="false"/>
          <w:sz w:val="20"/>
          <w:shd w:fill="FFFFFF" w:val="clear"/>
        </w:rPr>
        <w:t>. Upon any exercise for cash of any Warrants issued pursuant to this Agreement on the Closing Time, the Company shall pay the Representatives within five (5) Business Days of the Company’s receipt of the exercise price, a commission equal to 6.0% of the gross exercise price received by the Company with respect thereto if and to the extent the payment of such commission is not prohibited under FINRA rules and regulations, including FINRA Rule 5110(g)(10).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one-half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(which fees and disbursements of counsel, together with the fees from subclause (v), above, and this subclause (viii) shall not exceed $30,000), (ix) the reasonable fees and disbursements of counsel to the Underwriters, and in an amount not to exceed $125,000 in the aggregate, inclusive of any fees reimbursed pursuant to subclause (viii), above, (x) the fees and expenses incurred in connection with the listing of the Shares and the Warrant Shares on the Nasdaq Capital Market, and (xi)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Except as provided in this Section 4, Section 6 or Section 7, the Underwriters shall pay their own expenses, including the fees and disbursements of their counsel and one-half of the cost of aircraft and other transportation chartered in connection with the road show.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this Agreement is terminated by the Representatives in accordance with the provisions of Section 5, Section 9(a)(i), Section 9(a)(iii) or Section 10 hereof, the Company shall reimburse the Underwriters for all of their reasonably documented out-of-pocket expenses, including the reasonable fees and disbursements of counsel for the Underwriters; provided, however, that if this Agreement is terminated by the Representatives pursuant to Section 10 hereof, the Company shall have no obligation to reimburse any out of pocket expenses of any Underwriter that has failed to purchase the Securities that such Underwriter has agreed to purchase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including any Rule 462(b) Registration 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Opinion of Counsel for Company</w:t>
      </w:r>
      <w:r>
        <w:rPr>
          <w:rFonts w:ascii="Times New Roman;Times;Serif" w:hAnsi="Times New Roman;Times;Serif"/>
          <w:b w:val="false"/>
          <w:i w:val="false"/>
          <w:caps w:val="false"/>
          <w:smallCaps w:val="false"/>
          <w:sz w:val="20"/>
        </w:rPr>
        <w:t>. At the Closing Time, the Representatives shall have received the opinion and the negative assurance letter, each dated the Closing Time, of Cooley LLP, counsel for the Company, in such form and substance previously agreed to by, and reasonably satisfactory to, counsel for the Underwriters. Such counsel may also state that, insofar as such opinion involves factual matters, they have relied, to the extent they deem proper, upon certificates of officers and other representatives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Opinion of Counsel for Underwriters</w:t>
      </w:r>
      <w:r>
        <w:rPr>
          <w:rFonts w:ascii="Times New Roman;Times;Serif" w:hAnsi="Times New Roman;Times;Serif"/>
          <w:b w:val="false"/>
          <w:i w:val="false"/>
          <w:caps w:val="false"/>
          <w:smallCaps w:val="false"/>
          <w:sz w:val="20"/>
        </w:rPr>
        <w:t>. At the Closing Time, the Representatives shall have received the opinion, and negative assurance letter, each dated the Closing Time, of Paul Hastings LLP, counsel for the Underwriters, together with signed or reproduced copies of such letters for each of the other Underwriters in form and substance previously agreed to by, and reasonably satisfactory, to the Representatives.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At the Closing Time, there shall not have been, since the date hereof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Accountant’s Comfort Letter</w:t>
      </w:r>
      <w:r>
        <w:rPr>
          <w:rFonts w:ascii="Times New Roman;Times;Serif" w:hAnsi="Times New Roman;Times;Serif"/>
          <w:b w:val="false"/>
          <w:i w:val="false"/>
          <w:caps w:val="false"/>
          <w:smallCaps w:val="false"/>
          <w:sz w:val="20"/>
        </w:rPr>
        <w:t>. At the time of the execution of this Agreement, the Representatives shall have received from KPMG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Bring-down Comfort Letter</w:t>
      </w:r>
      <w:r>
        <w:rPr>
          <w:rFonts w:ascii="Times New Roman;Times;Serif" w:hAnsi="Times New Roman;Times;Serif"/>
          <w:b w:val="false"/>
          <w:i w:val="false"/>
          <w:caps w:val="false"/>
          <w:smallCaps w:val="false"/>
          <w:sz w:val="20"/>
        </w:rPr>
        <w:t>. At the Closing Time, the Representatives shall have received from KPMG LLP a letter, dated as of the Closing Time, to the effect that they reaffirm the statements made in the letter furnished pursuant to subsection (e) of this Section, except that the specified date referred to shall be a date not more than three business days prior to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Chief Financial Officer’s Certificate</w:t>
      </w:r>
      <w:r>
        <w:rPr>
          <w:rFonts w:ascii="Times New Roman;Times;Serif" w:hAnsi="Times New Roman;Times;Serif"/>
          <w:b w:val="false"/>
          <w:i w:val="false"/>
          <w:caps w:val="false"/>
          <w:smallCaps w:val="false"/>
          <w:sz w:val="20"/>
        </w:rPr>
        <w:t>. At the time of the execution of this Agreement and at the Closing Time, the Representatives shall have received a certificate of the Company’s Chief Financial Officer, dated as of such date, as the case may be, in form and substance satisfactory to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Approval of Listing</w:t>
      </w:r>
      <w:r>
        <w:rPr>
          <w:rFonts w:ascii="Times New Roman;Times;Serif" w:hAnsi="Times New Roman;Times;Serif"/>
          <w:b w:val="false"/>
          <w:i w:val="false"/>
          <w:caps w:val="false"/>
          <w:smallCaps w:val="false"/>
          <w:sz w:val="20"/>
        </w:rPr>
        <w:t>. At the Closing Time, the Shares shall have been approved for listing on the Nasdaq Capital Market,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Lock-up Agreements</w:t>
      </w:r>
      <w:r>
        <w:rPr>
          <w:rFonts w:ascii="Times New Roman;Times;Serif" w:hAnsi="Times New Roman;Times;Serif"/>
          <w:b w:val="false"/>
          <w:i w:val="false"/>
          <w:caps w:val="false"/>
          <w:smallCaps w:val="false"/>
          <w:sz w:val="20"/>
        </w:rPr>
        <w:t xml:space="preserve">. At the date of this Agreement, the Representatives shall have received an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signed by all of the Company’s directors, officers and certain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Conditions to Purchase of Option Securities</w:t>
      </w:r>
      <w:r>
        <w:rPr>
          <w:rFonts w:ascii="Times New Roman;Times;Serif" w:hAnsi="Times New Roman;Times;Serif"/>
          <w:b w:val="false"/>
          <w:i w:val="false"/>
          <w:caps w:val="false"/>
          <w:smallCaps w:val="false"/>
          <w:sz w:val="20"/>
        </w:rPr>
        <w:t>. In the event that the Underwriters exercise their option provided in Section 2(b) hereof to 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Opinion of Counsel for Company</w:t>
      </w:r>
      <w:r>
        <w:rPr>
          <w:rFonts w:ascii="Times New Roman;Times;Serif" w:hAnsi="Times New Roman;Times;Serif"/>
          <w:b w:val="false"/>
          <w:i w:val="false"/>
          <w:caps w:val="false"/>
          <w:smallCaps w:val="false"/>
          <w:sz w:val="20"/>
        </w:rPr>
        <w:t>. The opinion and the negative assurance letter of Cooley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Opinion of Counsel for Underwriters</w:t>
      </w:r>
      <w:r>
        <w:rPr>
          <w:rFonts w:ascii="Times New Roman;Times;Serif" w:hAnsi="Times New Roman;Times;Serif"/>
          <w:b w:val="false"/>
          <w:i w:val="false"/>
          <w:caps w:val="false"/>
          <w:smallCaps w:val="false"/>
          <w:sz w:val="20"/>
        </w:rPr>
        <w:t>. The opinion and the negative assurance letter of Paul Hastings LLP, counsel for the Underwriters, dated such Date of Delivery, relating to the Option Securities to be purchased on such Date of Delivery and otherwise to the same effect as the opinion required by Section 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Bring-down Comfort Letter</w:t>
      </w:r>
      <w:r>
        <w:rPr>
          <w:rFonts w:ascii="Times New Roman;Times;Serif" w:hAnsi="Times New Roman;Times;Serif"/>
          <w:b w:val="false"/>
          <w:i w:val="false"/>
          <w:caps w:val="false"/>
          <w:smallCaps w:val="false"/>
          <w:sz w:val="20"/>
        </w:rPr>
        <w:t>. A letter from KPMG LLP, in form and substance satisfactory to the Representatives and dated such Date of Delivery, substantially in the same form and substance as the letter furnished to the Representatives pursuant to Section 5(f) hereof, except that the specified date referred to shall be a date not more than three business days prior to such Date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Chief Financial Officer’s Certificate</w:t>
      </w:r>
      <w:r>
        <w:rPr>
          <w:rFonts w:ascii="Times New Roman;Times;Serif" w:hAnsi="Times New Roman;Times;Serif"/>
          <w:b w:val="false"/>
          <w:i w:val="false"/>
          <w:caps w:val="false"/>
          <w:smallCaps w:val="false"/>
          <w:sz w:val="20"/>
        </w:rPr>
        <w:t>. A certificate, dated such Date of Delivery, of the Chief Financial Officer of the Company substantially in the same form and substance as the certificate furnished to the Representatives pursuant to Section 5(g)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At the Closing Time and at each Date of Delivery (if any), counsel for the Underwriters shall have been furnished with 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Termination of Agreement</w:t>
      </w:r>
      <w:r>
        <w:rPr>
          <w:rFonts w:ascii="Times New Roman;Times;Serif" w:hAnsi="Times New Roman;Times;Serif"/>
          <w:b w:val="false"/>
          <w:i w:val="false"/>
          <w:caps w:val="false"/>
          <w:smallCaps w:val="false"/>
          <w:sz w:val="20"/>
        </w:rPr>
        <w: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4, 6, 7, 8, 14, 15 and 16 shall survive any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Underwriters</w:t>
      </w:r>
      <w:r>
        <w:rPr>
          <w:rFonts w:ascii="Times New Roman;Times;Serif" w:hAnsi="Times New Roman;Times;Serif"/>
          <w:b w:val="false"/>
          <w:i w:val="false"/>
          <w:caps w:val="false"/>
          <w:smallCaps w:val="false"/>
          <w:sz w:val="20"/>
        </w:rPr>
        <w:t>. The Company agrees to indemnify and hold harmless each Underwriter, its affiliates (as such term is defined in Rule 501(b) under the 1933 Act (each, an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its selling agents and each person, if any, who controls any Underwriter within the meaning of Section 15 of the 1933 Act or Section 20 of the 1934 Act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Times;Serif" w:hAnsi="Times New Roman;Times;Serif"/>
          <w:b w:val="false"/>
          <w:i w:val="false"/>
          <w:caps w:val="false"/>
          <w:smallCaps w:val="false"/>
          <w:sz w:val="20"/>
          <w:u w:val="single"/>
        </w:rPr>
        <w:t>Marketing Materials</w:t>
      </w:r>
      <w:r>
        <w:rPr>
          <w:rFonts w:ascii="Times New Roman;Times;Serif" w:hAnsi="Times New Roman;Times;Serif"/>
          <w:b w:val="false"/>
          <w:i w:val="false"/>
          <w:caps w:val="false"/>
          <w:smallCaps w:val="false"/>
          <w:sz w:val="20"/>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Company, Directors and Officers</w:t>
      </w:r>
      <w:r>
        <w:rPr>
          <w:rFonts w:ascii="Times New Roman;Times;Serif" w:hAnsi="Times New Roman;Times;Serif"/>
          <w:b w:val="false"/>
          <w:i w:val="false"/>
          <w:caps w:val="false"/>
          <w:smallCaps w:val="false"/>
          <w:sz w:val="20"/>
        </w:rPr>
        <w:t>. Each Underwriter severally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Actions against Parties; Notification</w:t>
      </w:r>
      <w:r>
        <w:rPr>
          <w:rFonts w:ascii="Times New Roman;Times;Serif" w:hAnsi="Times New Roman;Times;Serif"/>
          <w:b w:val="false"/>
          <w:i w:val="false"/>
          <w:caps w:val="false"/>
          <w:smallCaps w:val="false"/>
          <w:sz w:val="20"/>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Settlement without Consent if Failure to Reimburse</w:t>
      </w:r>
      <w:r>
        <w:rPr>
          <w:rFonts w:ascii="Times New Roman;Times;Serif" w:hAnsi="Times New Roman;Times;Serif"/>
          <w:b w:val="false"/>
          <w:i w:val="false"/>
          <w:caps w:val="false"/>
          <w:smallCaps w:val="false"/>
          <w:sz w:val="20"/>
        </w:rPr>
        <w:t>.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guilty of fraudulent misrepresentation (within the meaning of Section 11(f) of the 1933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Firm Securities set forth opposite their respective names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Representations, Warranties and Agreements to Survive</w:t>
      </w:r>
      <w:r>
        <w:rPr>
          <w:rFonts w:ascii="Times New Roman;Times;Serif" w:hAnsi="Times New Roman;Times;Serif"/>
          <w:b w:val="false"/>
          <w:i w:val="false"/>
          <w:caps w:val="false"/>
          <w:smallCaps w:val="false"/>
          <w:sz w:val="20"/>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Representatives may terminate this Agreement, by notice to the Company,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Capital Market, or (iv) if trading generally on the NYSE MKT or the New York Stock Exchange or in the Nasdaq Capital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If this Agreement is terminated pursuant to this Section, such termination shall be without liability of any party to any other party except as provided in Section 4 hereof, and provided further that Sections 1, 4, 6, 7, 8, 15, 16, 17, 18 and 19 shall survive such termination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Default by One or More of the Underwriters</w:t>
      </w:r>
      <w:r>
        <w:rPr>
          <w:rFonts w:ascii="Times New Roman;Times;Serif" w:hAnsi="Times New Roman;Times;Serif"/>
          <w:b w:val="false"/>
          <w:i w:val="false"/>
          <w:caps w:val="false"/>
          <w:smallCaps w:val="false"/>
          <w:sz w:val="20"/>
        </w:rPr>
        <w:t>. If one or more of the Underwriters shall fail at the Closing Time or a Date of Delivery to purchase the Securities which it or they are obligated to purchase under this Agreement (the “</w:t>
      </w:r>
      <w:r>
        <w:rPr>
          <w:rFonts w:ascii="Times New Roman;Times;Serif" w:hAnsi="Times New Roman;Times;Serif"/>
          <w:b w:val="false"/>
          <w:i w:val="false"/>
          <w:caps w:val="false"/>
          <w:smallCaps w:val="false"/>
          <w:sz w:val="20"/>
          <w:u w:val="single"/>
        </w:rPr>
        <w:t>Defaulted Securities</w:t>
      </w:r>
      <w:r>
        <w:rPr>
          <w:rFonts w:ascii="Times New Roman;Times;Serif" w:hAnsi="Times New Roman;Times;Serif"/>
          <w:b w:val="false"/>
          <w:i w:val="false"/>
          <w:caps w:val="false"/>
          <w:smallCaps w:val="false"/>
          <w:sz w:val="20"/>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taken pursuant to this Section shall relieve any defaulting Underwriter from liability in respect of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if mailed or transmitted by any standard form of telecommunication. Notices to the Underwriters shall be directed to Piper Sandler &amp; Co. at 1251 Avenue of the Americas, 6th Floor, New York, New York 10022, Attention: General Counsel and BTIG, LLC at 350 Bush Street, 9th Floor, San Francisco, California 94104, Attention: IB Legal, with a copy to Paul Hastings LLP, The MetLife Building, 200 Park Avenue, New York, New York 10166, Attention: Siavosh Salimi and William A. Magioncalda. Notices to the Company shall be directed to Outlook Therapeutics, Inc., 111 S. Wood Avenue, Unit #100, Iselin, New Jersey 08830, Attention: Lawrence A. Kenyon, with a copy to Cooley LLP, 55 Hudson Yards, New York, New York 10001, Attention: Yvan-Claude Pierre and Courtney M.W. Tygesson.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 CONTROVERSY OR DISPUTE ARISING UNDER OR RELATED TO THIS AGREEMENT SHALL BE GOVERNED BY, AND CONSTRUED IN ACCORDANCE WITH THE LAWS OF, THE STATE OF NEW YORK WITHOUT REGARD TO ITS CHOICE OF 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Consent to Jurisdiction; Waiver of Immunity</w:t>
      </w:r>
      <w:r>
        <w:rPr>
          <w:rFonts w:ascii="Times New Roman;Times;Serif" w:hAnsi="Times New Roman;Times;Serif"/>
          <w:b w:val="false"/>
          <w:i w:val="false"/>
          <w:caps w:val="false"/>
          <w:smallCaps w:val="false"/>
          <w:sz w:val="20"/>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Times;Serif" w:hAnsi="Times New Roman;Times;Serif"/>
          <w:b w:val="false"/>
          <w:i w:val="false"/>
          <w:caps w:val="false"/>
          <w:smallCaps w:val="false"/>
          <w:sz w:val="20"/>
          <w:u w:val="single"/>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TIME</w:t>
      </w:r>
      <w:r>
        <w:rPr>
          <w:rFonts w:ascii="Times New Roman;Times;Serif" w:hAnsi="Times New Roman;Times;Serif"/>
          <w:b w:val="false"/>
          <w:i w:val="false"/>
          <w:caps w:val="false"/>
          <w:smallCaps w:val="false"/>
          <w:sz w:val="20"/>
        </w:rPr>
        <w:t>. TIME SHALL BE OF THE ESSENCE OF THIS AGREEMENT. EXCEPT AS OTHERWISE SET FORTH HEREIN, SPECIFIED TIMES OF DAY REFER TO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supersedes all prior agreements and understandings (whether written or oral) between the Company and the Underwriters,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2959" w:type="dxa"/>
        <w:jc w:val="left"/>
        <w:tblInd w:w="0" w:type="dxa"/>
        <w:tblLayout w:type="fixed"/>
        <w:tblCellMar>
          <w:top w:w="0" w:type="dxa"/>
          <w:left w:w="0" w:type="dxa"/>
          <w:bottom w:w="0" w:type="dxa"/>
          <w:right w:w="0" w:type="dxa"/>
        </w:tblCellMar>
      </w:tblPr>
      <w:tblGrid>
        <w:gridCol w:w="75"/>
        <w:gridCol w:w="447"/>
        <w:gridCol w:w="2437"/>
      </w:tblGrid>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3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Lawrence Kenyon</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Lawrence Kenyon</w:t>
            </w:r>
          </w:p>
        </w:tc>
      </w:tr>
      <w:tr>
        <w:trPr/>
        <w:tc>
          <w:tcPr>
            <w:tcW w:w="75"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335"/>
        <w:gridCol w:w="4310"/>
        <w:gridCol w:w="75"/>
      </w:tblGrid>
      <w:tr>
        <w:trPr/>
        <w:tc>
          <w:tcPr>
            <w:tcW w:w="46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first above written:</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PIPER SANDLER &amp; CO.</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Bassett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Bassett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BTIG, LLC</w:t>
            </w:r>
          </w:p>
        </w:tc>
        <w:tc>
          <w:tcPr>
            <w:tcW w:w="75" w:type="dxa"/>
            <w:tcBorders/>
            <w:vAlign w:val="center"/>
          </w:tcPr>
          <w:p>
            <w:pPr>
              <w:pStyle w:val="TableContents"/>
              <w:bidi w:val="0"/>
              <w:spacing w:before="0" w:after="283"/>
              <w:jc w:val="left"/>
              <w:rPr/>
            </w:pPr>
            <w:r>
              <w:rPr/>
              <w:t> </w:t>
            </w:r>
          </w:p>
        </w:tc>
      </w:tr>
      <w:tr>
        <w:trPr/>
        <w:tc>
          <w:tcPr>
            <w:tcW w:w="46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Passaro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Passaro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 Head of ECM &amp; Syndicate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themselves and as Representatives of the other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tbl>
      <w:tblPr>
        <w:tblW w:w="9478" w:type="dxa"/>
        <w:jc w:val="left"/>
        <w:tblInd w:w="0" w:type="dxa"/>
        <w:tblLayout w:type="fixed"/>
        <w:tblCellMar>
          <w:top w:w="0" w:type="dxa"/>
          <w:left w:w="0" w:type="dxa"/>
          <w:bottom w:w="28" w:type="dxa"/>
          <w:right w:w="0" w:type="dxa"/>
        </w:tblCellMar>
      </w:tblPr>
      <w:tblGrid>
        <w:gridCol w:w="5300"/>
        <w:gridCol w:w="60"/>
        <w:gridCol w:w="110"/>
        <w:gridCol w:w="1754"/>
        <w:gridCol w:w="60"/>
        <w:gridCol w:w="60"/>
        <w:gridCol w:w="122"/>
        <w:gridCol w:w="1937"/>
        <w:gridCol w:w="75"/>
      </w:tblGrid>
      <w:tr>
        <w:trPr/>
        <w:tc>
          <w:tcPr>
            <w:tcW w:w="53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Firm Shares</w:t>
              <w:br/>
              <w:t>to 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Firm </w:t>
              <w:br/>
              <w:t>Warrants to 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Piper Sandler &amp; Co.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BTIG,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13,888,889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13,888,889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Brookline Capital Markets, a division of Arcadia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4,166,667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4,166,667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7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93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55,555,556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55,555,556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87" w:type="dxa"/>
            <w:tcBorders/>
            <w:vAlign w:val="center"/>
          </w:tcPr>
          <w:p>
            <w:pPr>
              <w:pStyle w:val="TableContents"/>
              <w:bidi w:val="0"/>
              <w:spacing w:before="0" w:after="283"/>
              <w:jc w:val="both"/>
              <w:rPr/>
            </w:pPr>
            <w:r>
              <w:rPr/>
              <w:t>The Company is selling 55,555,556 shares of Common Stock and accompanying Warrants to purchase up to 55,555,556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283"/>
              <w:jc w:val="both"/>
              <w:rPr/>
            </w:pPr>
            <w:r>
              <w:rPr/>
              <w:t>The Company has granted an option to the Underwriters to purchase up to an additional 8,333,333 shares of Common Stock and/or Warrants to purchase up to 8,333,333 additional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both"/>
              <w:rPr/>
            </w:pPr>
            <w:r>
              <w:rPr/>
              <w:t>The combined public offering price for one Firm Share and accompanying Firm Warrant shall be $0.99 (which shall be allocated as $0.98 per Firm Share and $0.01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4.</w:t>
            </w:r>
          </w:p>
        </w:tc>
        <w:tc>
          <w:tcPr>
            <w:tcW w:w="10003" w:type="dxa"/>
            <w:tcBorders/>
            <w:vAlign w:val="center"/>
          </w:tcPr>
          <w:p>
            <w:pPr>
              <w:pStyle w:val="TableContents"/>
              <w:bidi w:val="0"/>
              <w:spacing w:before="0" w:after="283"/>
              <w:jc w:val="both"/>
              <w:rPr/>
            </w:pPr>
            <w:r>
              <w:rPr/>
              <w:t>The combined purchase price per Firm Share and accompanying Firm Warrant to be paid by the several Underwriters to the Company shall be $0.9306 (which shall be allocated as $0.9212 per Firm Share and $0.0094 per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8"/>
        <w:gridCol w:w="9875"/>
      </w:tblGrid>
      <w:tr>
        <w:trPr/>
        <w:tc>
          <w:tcPr>
            <w:tcW w:w="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5.</w:t>
            </w:r>
          </w:p>
        </w:tc>
        <w:tc>
          <w:tcPr>
            <w:tcW w:w="9875" w:type="dxa"/>
            <w:tcBorders/>
            <w:vAlign w:val="center"/>
          </w:tcPr>
          <w:p>
            <w:pPr>
              <w:pStyle w:val="TableContents"/>
              <w:bidi w:val="0"/>
              <w:spacing w:before="0" w:after="283"/>
              <w:jc w:val="both"/>
              <w:rPr/>
            </w:pPr>
            <w:r>
              <w:rPr/>
              <w:t>The Warrants have an exercise price of $1.10 per share of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any time following issuance until the date that is five (5) years after the date of issuance, by payment of the exercise price in cash (or by cashless exercise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not be exercisable if the respective holder’s ownership would exceed the initial beneficial ownership limit as set by such holder. However, any holder may increase the initial beneficial ownership percentage, not to exceed 19.99%, if the holder provides at least 61 days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List of Written Testing-the-Waters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Piper Sandler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BTIG,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Piper Sandler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39th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BTIG,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 Bush Street, 9th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Proposed Public Offering by Outlook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stockholder, officer and/or director of Outlook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understands that Piper Sandler &amp; Co. (“</w:t>
      </w:r>
      <w:r>
        <w:rPr>
          <w:rFonts w:ascii="Times New Roman;Times;Serif" w:hAnsi="Times New Roman;Times;Serif"/>
          <w:b w:val="false"/>
          <w:i w:val="false"/>
          <w:caps w:val="false"/>
          <w:smallCaps w:val="false"/>
          <w:sz w:val="20"/>
          <w:u w:val="single"/>
        </w:rPr>
        <w:t>Piper Sandler</w:t>
      </w:r>
      <w:r>
        <w:rPr>
          <w:rFonts w:ascii="Times New Roman;Times;Serif" w:hAnsi="Times New Roman;Times;Serif"/>
          <w:b w:val="false"/>
          <w:i w:val="false"/>
          <w:caps w:val="false"/>
          <w:smallCaps w:val="false"/>
          <w:sz w:val="20"/>
        </w:rPr>
        <w:t>”) and BTIG, LLC (together,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with the Company providing for the public offering (the “</w:t>
      </w:r>
      <w:r>
        <w:rPr>
          <w:rFonts w:ascii="Times New Roman;Times;Serif" w:hAnsi="Times New Roman;Times;Serif"/>
          <w:b w:val="false"/>
          <w:i w:val="false"/>
          <w:caps w:val="false"/>
          <w:smallCaps w:val="false"/>
          <w:sz w:val="20"/>
          <w:u w:val="single"/>
        </w:rPr>
        <w:t>Public Offering</w:t>
      </w:r>
      <w:r>
        <w:rPr>
          <w:rFonts w:ascii="Times New Roman;Times;Serif" w:hAnsi="Times New Roman;Times;Serif"/>
          <w:b w:val="false"/>
          <w:i w:val="false"/>
          <w:caps w:val="false"/>
          <w:smallCaps w:val="false"/>
          <w:sz w:val="20"/>
        </w:rPr>
        <w:t>”) of shares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and/or of securities convertible or exchangeable or exercisable for Common Stock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that, during the period beginning on the date hereof and ending on the date that is 60 days from the date of the Underwriting Agreement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the undersigned will not, without the prior written consent of the Representatives,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Times New Roman;Times;Serif" w:hAnsi="Times New Roman;Times;Serif"/>
          <w:b w:val="false"/>
          <w:i w:val="false"/>
          <w:caps w:val="false"/>
          <w:smallCaps w:val="false"/>
          <w:sz w:val="20"/>
          <w:u w:val="single"/>
        </w:rPr>
        <w:t>Lock-Up Securities</w:t>
      </w:r>
      <w:r>
        <w:rPr>
          <w:rFonts w:ascii="Times New Roman;Times;Serif" w:hAnsi="Times New Roman;Times;Serif"/>
          <w:b w:val="false"/>
          <w:i w:val="false"/>
          <w:caps w:val="false"/>
          <w:smallCaps w:val="false"/>
          <w:sz w:val="20"/>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Lock-Up Securities without the prior written consent of the Representatives, provided, in each case, that (1) in the case of clauses (i), (ii), (iii) and (iv) below, (A) the Representatives receive a signed lock-up agreement for the balance of the Lock-Up Period from each donee, trustee, distributee, or transferee, as the case may be and (B) any such transfer shall not involve a disposition for value, and (2) in the case of (A) clauses (ii)-(iv) and (viii) it shall be a condition to such transfer that no filing under Section 16(a)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 public filing, report or announcement shall be legally required or voluntarily made during the Lock-Up Period and (B) clauses (i), (v) and (vii) it shall be a condition to such transfer that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 xml:space="preserve">as a </w:t>
            </w:r>
            <w:r>
              <w:rPr>
                <w:i/>
              </w:rPr>
              <w:t>bona fide</w:t>
            </w:r>
            <w:r>
              <w:rPr/>
              <w:t xml:space="preserve"> gift or gifts including a </w:t>
            </w:r>
            <w:r>
              <w:rPr>
                <w:i/>
              </w:rPr>
              <w:t>bona fide</w:t>
            </w:r>
            <w:r>
              <w:rPr/>
              <w:t xml:space="preserve"> gift or gifts to a charitable organization or educational institution;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pPr>
            <w:r>
              <w:rPr/>
              <w:t>to any member of the immediate family of the undersigned or to any trust for the direct or indirect benefit of the undersigned or the immediate family of the undersigned (for purposes of this lock-up agreement, “immediate family” shall mean any relationship by blood, marriage or adoption, not more remote than first cousin);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pPr>
            <w:r>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(iv)</w:t>
            </w:r>
          </w:p>
        </w:tc>
        <w:tc>
          <w:tcPr>
            <w:tcW w:w="9826" w:type="dxa"/>
            <w:tcBorders/>
            <w:vAlign w:val="center"/>
          </w:tcPr>
          <w:p>
            <w:pPr>
              <w:pStyle w:val="TableContents"/>
              <w:bidi w:val="0"/>
              <w:spacing w:before="0" w:after="283"/>
              <w:jc w:val="both"/>
              <w:rPr/>
            </w:pPr>
            <w:r>
              <w:rPr/>
              <w:t>to the undersigned’s affiliates or to any investment fund or other entity controlled or managed by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w:t>
            </w:r>
          </w:p>
        </w:tc>
        <w:tc>
          <w:tcPr>
            <w:tcW w:w="9908" w:type="dxa"/>
            <w:tcBorders/>
            <w:vAlign w:val="center"/>
          </w:tcPr>
          <w:p>
            <w:pPr>
              <w:pStyle w:val="TableContents"/>
              <w:bidi w:val="0"/>
              <w:spacing w:before="0" w:after="283"/>
              <w:jc w:val="both"/>
              <w:rPr/>
            </w:pPr>
            <w:r>
              <w:rPr/>
              <w:t>by operation of law pursuant to an order of a court or regulatory agency or pursuant to a qualified domestic relations order or in connection with a divorce settlement;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44"/>
        <w:gridCol w:w="9602"/>
      </w:tblGrid>
      <w:tr>
        <w:trPr/>
        <w:tc>
          <w:tcPr>
            <w:tcW w:w="5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(vi)</w:t>
            </w:r>
          </w:p>
        </w:tc>
        <w:tc>
          <w:tcPr>
            <w:tcW w:w="9602" w:type="dxa"/>
            <w:tcBorders/>
            <w:vAlign w:val="center"/>
          </w:tcPr>
          <w:p>
            <w:pPr>
              <w:pStyle w:val="TableContents"/>
              <w:bidi w:val="0"/>
              <w:spacing w:before="0" w:after="283"/>
              <w:jc w:val="both"/>
              <w:rPr/>
            </w:pPr>
            <w:r>
              <w:rPr/>
              <w:t>by will or intestate succession upon the death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609"/>
        <w:gridCol w:w="9540"/>
      </w:tblGrid>
      <w:tr>
        <w:trPr/>
        <w:tc>
          <w:tcPr>
            <w:tcW w:w="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pPr>
            <w:r>
              <w:rPr/>
              <w:t>(vii)</w:t>
            </w:r>
          </w:p>
        </w:tc>
        <w:tc>
          <w:tcPr>
            <w:tcW w:w="9540" w:type="dxa"/>
            <w:tcBorders/>
            <w:vAlign w:val="center"/>
          </w:tcPr>
          <w:p>
            <w:pPr>
              <w:pStyle w:val="TableContents"/>
              <w:bidi w:val="0"/>
              <w:spacing w:before="0" w:after="283"/>
              <w:jc w:val="both"/>
              <w:rPr/>
            </w:pPr>
            <w:r>
              <w:rPr/>
              <w:t>to the Company in satisfaction of any tax withholding obligation;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7"/>
        <w:gridCol w:w="9721"/>
      </w:tblGrid>
      <w:tr>
        <w:trPr/>
        <w:tc>
          <w:tcPr>
            <w:tcW w:w="3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(viii)</w:t>
            </w:r>
          </w:p>
        </w:tc>
        <w:tc>
          <w:tcPr>
            <w:tcW w:w="9721" w:type="dxa"/>
            <w:tcBorders/>
            <w:vAlign w:val="center"/>
          </w:tcPr>
          <w:p>
            <w:pPr>
              <w:pStyle w:val="TableContents"/>
              <w:bidi w:val="0"/>
              <w:spacing w:before="0" w:after="283"/>
              <w:jc w:val="both"/>
              <w:rPr/>
            </w:pPr>
            <w:r>
              <w:rPr/>
              <w:t>in transactions relating to Securities acquired in the Public Offering or in open market transactions after the completion of the Public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 (2) the exercise or exchange by the undersigned of any option or warrant to acquire any shares of Common Stock or options to purchase shares of Common Stock or vesting and settlement of any restricted stock awards or units, including the transfers of shares of Common Stock or any security convertible into or exercisable or exchangeable for Common Stock to the Company upon a vesting event of the Company’s securities or upon the exercise or conversion of options or warrants to purchase the Company’s securities in each case for cash or on a “cashless” or “net exercise” basis or any transfer to cover tax withholding obligations of the undersigned in connection with such vesting or exercise, pursuant to any stock option, stock bonus or other stock plan or arrangement; provided, however, that the underlying shares of Common Stock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the purpose of such transfer was to cover tax withholding obligations of the undersigned in connection with such vesting or exercise; and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nothing herein shall prevent the undersigned from establishing a 10b5-1 trading plan that complies with Rule 10b5-1 under the Exchange Act (“</w:t>
      </w:r>
      <w:r>
        <w:rPr>
          <w:rFonts w:ascii="Times New Roman;Times;Serif" w:hAnsi="Times New Roman;Times;Serif"/>
          <w:b w:val="false"/>
          <w:i w:val="false"/>
          <w:caps w:val="false"/>
          <w:smallCaps w:val="false"/>
          <w:sz w:val="20"/>
          <w:u w:val="single"/>
        </w:rPr>
        <w:t>10b5-1 Trading Plan</w:t>
      </w:r>
      <w:r>
        <w:rPr>
          <w:rFonts w:ascii="Times New Roman;Times;Serif" w:hAnsi="Times New Roman;Times;Serif"/>
          <w:b w:val="false"/>
          <w:i w:val="false"/>
          <w:caps w:val="false"/>
          <w:smallCaps w:val="false"/>
          <w:sz w:val="20"/>
        </w:rPr>
        <w:t xml:space="preserve">”) or from amending an existing 10b5-1 Trading Plan so long as there are no sales of Lock-Up Securities under any such 10b5-1 Trading Plan during the Lock-Up Period; and provided that any required public disclosure, announcement or filing under the Exchange Act made by the Company or any person regarding the establishment or amendment of </w:t>
      </w:r>
      <w:r>
        <w:rPr>
          <w:rFonts w:ascii="Times New Roman;Times;Serif" w:hAnsi="Times New Roman;Times;Serif"/>
          <w:b w:val="false"/>
          <w:i w:val="false"/>
          <w:caps w:val="false"/>
          <w:smallCaps w:val="false"/>
          <w:sz w:val="20"/>
          <w:u w:val="single"/>
        </w:rPr>
        <w:t>10b5-1 Trading Plan</w:t>
      </w:r>
      <w:r>
        <w:rPr>
          <w:rFonts w:ascii="Times New Roman;Times;Serif" w:hAnsi="Times New Roman;Times;Serif"/>
          <w:b w:val="false"/>
          <w:i w:val="false"/>
          <w:caps w:val="false"/>
          <w:smallCaps w:val="false"/>
          <w:sz w:val="20"/>
        </w:rPr>
        <w:t xml:space="preserve"> during the Lock-Up Period shall include a statement that the undersigned is not permitted to transfer, sell or otherwise dispose of securities under such plan during the Lock-Up Period in contravention of this lock-up agreement, and no public announcement, report or filing under the Exchange Act, or any other public filing, report or announcement, shall be voluntarily made regarding the establishment or amendment of such plan during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Underwriting Agreement is executed but is terminated prior to the closing of the Public Offering (other than the provisions thereof which survive termination), or (iii) August 31, 2026, in the event that the Underwriting Agreement has not been executed by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960"/>
        <w:gridCol w:w="2584"/>
        <w:gridCol w:w="75"/>
      </w:tblGrid>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Security Holder (Print exact name)</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8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signing in an individual capacity:</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(Print)</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(Print)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capacity of person signing if signing as custodian, trustee, or on behalf of an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622399d2_ex4-1.htm"/>
      <w:bookmarkStart w:id="26" w:name="kstm2622399d2_ex41"/>
      <w:bookmarkEnd w:id="25"/>
      <w:bookmarkEnd w:id="26"/>
      <w:r>
        <w:rPr>
          <w:b/>
        </w:rPr>
        <w:t>Exhibit 4.1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STOCK PURCHASE WARRANT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THERAPEUTICS, INC.</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285"/>
        <w:gridCol w:w="2345"/>
      </w:tblGrid>
      <w:tr>
        <w:trPr/>
        <w:tc>
          <w:tcPr>
            <w:tcW w:w="2285" w:type="dxa"/>
            <w:tcBorders/>
            <w:vAlign w:val="center"/>
          </w:tcPr>
          <w:p>
            <w:pPr>
              <w:pStyle w:val="TableContents"/>
              <w:bidi w:val="0"/>
              <w:spacing w:before="0" w:after="283"/>
              <w:ind w:left="0" w:right="0" w:firstLine="90"/>
              <w:jc w:val="left"/>
              <w:rPr>
                <w:rFonts w:ascii="Times New Roman;Times;Serif" w:hAnsi="Times New Roman;Times;Serif"/>
                <w:sz w:val="20"/>
              </w:rPr>
            </w:pPr>
            <w:r>
              <w:rPr>
                <w:rFonts w:ascii="Times New Roman;Times;Serif" w:hAnsi="Times New Roman;Times;Serif"/>
                <w:sz w:val="20"/>
              </w:rPr>
              <w:t>Warrant Number: 2026-[●]</w:t>
            </w:r>
          </w:p>
        </w:tc>
        <w:tc>
          <w:tcPr>
            <w:tcW w:w="23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Issue Date: August [●],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permitted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August [●], 2031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Outlook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par value $0.01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is one of a series of similar warrants issued pursuant to the Company’s registration statement on Form S-3 (File No. 333-278340) and the Company’s prospectus supplement dated August 12, 2026 to the base prospectus dated April 5, 2024 contained in such registration statement (collectively,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All such warrants are referred to herein, collectively, as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Issuance of Securities; Registration of Warrants.</w:t>
      </w:r>
      <w:r>
        <w:rPr>
          <w:rFonts w:ascii="Times New Roman;Times;Serif" w:hAnsi="Times New Roman;Times;Serif"/>
          <w:b w:val="false"/>
          <w:i w:val="false"/>
          <w:caps w:val="false"/>
          <w:smallCaps w:val="false"/>
          <w:sz w:val="20"/>
        </w:rPr>
        <w:t xml:space="preserve"> The Warrant, as initially issued by the Company, is offered and sold pursuant to the Registration Statement. As of the Issue Date, the Warrant Shares are issuable under the Registration Statement. Accordingly, the Warrant and, assuming issuance pursuant to the Registration Statement or an exchange meeting the requirements of Section 3(a)(9)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as in effect on the Issue Date, the Warrant Shares, are not “restricted securities” under Rule 144 promulgated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This Warrant may be exercised,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day on which the Trading Market is open for trading (each, a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xml:space="preserve">”)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referenced in Section 2(c) below is applicable and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to effect an exercise hereunder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(It is understood and agreed that to surrender this Warrant to the Company for any purpose under this Warrant, the Holder only needs to e-mail to the Company e-mail address provided in </w:t>
      </w:r>
      <w:r>
        <w:rPr>
          <w:rFonts w:ascii="Times New Roman;Times;Serif" w:hAnsi="Times New Roman;Times;Serif"/>
          <w:b w:val="false"/>
          <w:i w:val="false"/>
          <w:caps w:val="false"/>
          <w:smallCaps w:val="false"/>
          <w:sz w:val="20"/>
          <w:u w:val="single"/>
        </w:rPr>
        <w:t>Section 5(h)</w:t>
      </w:r>
      <w:r>
        <w:rPr>
          <w:rFonts w:ascii="Times New Roman;Times;Serif" w:hAnsi="Times New Roman;Times;Serif"/>
          <w:b w:val="false"/>
          <w:i w:val="false"/>
          <w:caps w:val="false"/>
          <w:smallCaps w:val="false"/>
          <w:sz w:val="20"/>
        </w:rPr>
        <w:t> an electronic copy of the Warrant and state such Holder’s intent to surrender the Warrant.) Partial exercise of this Warrant shall have the effect of lowering the outstanding number of Warrant Shares purchasable hereunder in an amount equal to the number of Warrant Shares set forth in the applicable Notice of Exercise.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$1.10,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 in Limited Circumstances</w:t>
      </w:r>
      <w:r>
        <w:rPr>
          <w:rFonts w:ascii="Times New Roman;Times;Serif" w:hAnsi="Times New Roman;Times;Serif"/>
          <w:b w:val="false"/>
          <w:i w:val="false"/>
          <w:caps w:val="false"/>
          <w:smallCaps w:val="false"/>
          <w:sz w:val="20"/>
        </w:rPr>
        <w:t xml:space="preserve">. This Warrant may only be exercised for cash in accordance with Section 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if at the time of exercise hereof there is no effective registration statement registering, or the prospectus contained therein is not available for the issuance of, the Warrant Shares to the Holders,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Equiniti Trust Company, LLC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evidence of issuance of the Warrant Shares in book entry with the Transfer Agent), registered in the Company’s share register in the name of the Holder or its designee, for the number of Warrant Shares to which the Holder is entitled pursuant to such exercise to the address specified by the Holder in the Notice of Exercise (or, in the case of book entry issuance of Warrant Shares, evidence of such issuance to the email address specified in such Notice of Exercise) by the date that is the earlier of (A) the earlier of (i) one (1) Trading Day and (ii) the number of days comprising the Standard Settlement Period, in each case after the delivery to the Company of the Notice of Exercise and (B) one (1) Trading Day after delivery of the aggregate Exercise Price to the Company (provided that the foregoing clause (B) shall not apply in the case of cashless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one (1) Trading Day following delivery of the Notice of Exercise; and provided, further, that the Holder shall be deemed to have waived any voting rights of any such Warrant Shares during the period commencing delivery of such Notice of Exercise, through, and including, such applicable Warrant Share Delivery Date, as necessary, such that the aggregate voting rights of any Common Stock (including such Warrant Shares) beneficially owned by the Holder and/or any Attribution Parties, collectively, on any such date of determination shall not exceed the Beneficial Ownership Limitation (as defined below) as a result of any such exercise of this Warrant.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to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 by delivering written notice (including by email) to the Company at any time prior to the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xml:space="preserve">. In addition to any other rights available to the Holder, if the Company fails to cause the Transfer Agent to transmit to the Holder the Warrant Shares in accordance with the provisions of Section 2(d)(i) above pursuant to an exercise on or before the Warrant Share Delivery Date </w:t>
      </w:r>
      <w:r>
        <w:rPr>
          <w:rFonts w:ascii="Times New Roman;Times;Serif" w:hAnsi="Times New Roman;Times;Serif"/>
          <w:b w:val="false"/>
          <w:i w:val="false"/>
          <w:caps w:val="false"/>
          <w:smallCaps w:val="false"/>
          <w:sz w:val="20"/>
          <w:shd w:fill="FFFFFF" w:val="clear"/>
        </w:rPr>
        <w:t>(other than a failure caused by incorrect or incomplete information provided (and not thereafter corrected at least one (1) Trading Day before the Warrant Share Delivery Date) by the Holder to the Company)</w:t>
      </w:r>
      <w:r>
        <w:rPr>
          <w:rFonts w:ascii="Times New Roman;Times;Serif" w:hAnsi="Times New Roman;Times;Serif"/>
          <w:b w:val="false"/>
          <w:i w:val="false"/>
          <w:caps w:val="false"/>
          <w:smallCaps w:val="false"/>
          <w:sz w:val="20"/>
        </w:rPr>
        <w:t>, and if after such date the Holder is required by its broker to purchase (in an open market transaction or otherwise) or the Holder’s brokerage firm otherwise purchases for the Holder,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(up to the number of shares of Common Stock required to be purchased by the Holder or its broker for the Buy-In) in connection with a valid exercise, and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in the Notice of Exercise;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shall have the right to require, as a condition thereto, the prior or contemporaneous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in each case,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Beneficial Ownership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Person acting as a group together with such Holder or any of such Holder’s Affiliates (including such group itself), any other Person who is a beneficial owner of Common Stock beneficially owned by the Holder or any of its Affiliates and any other Person whose beneficial ownership would or could be aggregated with the Holder and the foregoing Persons, collectively, the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Attribution Parties and (ii) exercise or conversion of the unexercised or nonconverted portion of any other securities of the Company (including, without limitation, any other Warrant) subject to a limitation on conversion or exercise analogous to the limitation contained herein beneficially owned by the Holder or any of its Attribution Parties. For purposes of this Section 2(e), beneficial ownership shall be calculated in accordance with Section 13(d) of the Exchange Act and the rules and regulations promulgated thereunder, it being acknowledged by the Holder that the Holder is solely responsible for any schedules required to be filed in accordance therewith.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Attribution Parties since the date as of which such number of outstanding shares of Common Stock was reported. The “Beneficial Ownership Limitation” shall be [4.99/9.99/19.99]% of the number of shares of the Common Stock outstanding (for purposes of the denominator, immediately after giving effect to the issuance of shares of Common Stock to be issued upon the applicable exercise of this Warrant). The Holder, upon notice to the Company, may increase or decrease the Beneficial Ownership Limitation provisions of this Section 2(e), provided that the Beneficial Ownership Limitation in no event exceeds [19.99]% (or at the election of the Holder prior to the Issue Date,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Any purported delivery to the Holder or the Attribution Parties of a number of shares of Common Stock or any other security upon exercise of any Warrant shall be void and have no effect to the extent, but only to the extent, that before or after such delivery, the Holder and the Attribution Parties would have beneficial ownership of Common Stock or any other such class in excess of the Beneficial Ownership Limitation. The limitations contained in this paragraph may not be waived and shall apply to a successor holder of this Warrant. The limitation contained in this paragraph may not be amended, modified or waived (except in accordance with this Section 2(e))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divident or distribution and shall become immediately effective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(including without limitation through a significant subsidiary (as such term is defined in Rule 1-02 of Regulation S-X promulgated by the Commission),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for shares representing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(“group” status being determined in accordance with Section 13(d) of the Exchange Act)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to the extent any portion to this Warrant remains unexercised, then following such Fundamental Transaction the Holder shall have the right to receive, upon exercise of this Warrant, the same amount and kind of securities, cash or property as the Holder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If the Company undertakes a Fundamental Transaction in which the Company is not the surviving entity and the Alternate Consideration includes securities of another Person, then the Company shall provide that, prior to or simultaneously with the consummation of such Fundamental Transaction, any successor to the Company, surviving entity or other Person (including any purchaser of assets of the Company) shall assume the obligation to deliver to the Holder such Alternate Consideration as the Holder is entitled to receive in accordance with the foregoing provisions, and to assume the other obligations under this Warrant. The provisions of this paragraph (d) shall similarly apply to subsequent transactions analogous of a Fundamental Transaction type. Notwithstanding anything to the contrary, in the event of a Fundamental Transaction (other than (x) any stock split or reverse stock split, (y) any transaction effected solely for the purpose of changing the jurisdiction of incorporation of the 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125%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xml:space="preserve">”)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w:t>
      </w:r>
      <w:r>
        <w:rPr>
          <w:rFonts w:ascii="Times New Roman;Times;Serif" w:hAnsi="Times New Roman;Times;Serif"/>
          <w:b w:val="false"/>
          <w:i w:val="false"/>
          <w:caps w:val="false"/>
          <w:smallCaps w:val="false"/>
          <w:sz w:val="20"/>
          <w:shd w:fill="FFFFFF" w:val="clear"/>
        </w:rPr>
        <w:t>Notwithstanding the foregoing, and without limiting Section 2(e) hereof, the Holder may elect, at its sole option, by delivery of written notice to the Company to waive this Section 3(d) to permit a Fundamental Transaction without the assumption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during the term in which the Warrant may be exercised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significant subsidiary (as such term is defined in Rule 1-02 of Regulation S-X promulgated by the Commission) is a party, any sale or transfer of all or substantially all of the assets of the Company,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and provided, further that no notice shall be required if the information is disseminated in a press release or document filed with the Securities and Exchange Commission.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 duly executed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in a “cashless exercise” pursuant to Section 2(c) or to receive cash payments pursuant to Section 2(d)(iv) and Section 2(d)(v)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from and after the Issue Date, during the period the Warrant is outstanding, it will reserve from its authorized and unissued Common Stock a sufficient number of shares to provide for the issuance of the Warrant Shares upon the exercise of any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so long as any of the Warrants are outstanding,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Notice of Exercise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(a) the disputed determination of the Exercise Price to an independent, reputable investment bank selected by the Company and reasonably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five (5) Business Days from the time it receives the disputed determinations or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xml:space="preserve"> Except as set forth in Section 5(e),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at the time of exercise of this Warrant there is no effective registration statement registering, or the prospectus contained therein is not available for the issuance or resale of, the Warrant Shares,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Nonwaiver;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by any means permitted by or consistent with the notice provisions set forth in Section 3(f) hereof. Any notice, request or other document required or permitted to be given or delivered to the Company by the Holder shall be delivered via email to [______]. Any notice or communication by email to the Company shall be deemed given and effective at the time of transmission if such notice or communication is delivered via e-mail at the e-mail address set forth above, so long as the sender does not receive an automated notification from the recipient’s email server that such email could not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seek specific performance of its rights under this Warrant. The Company agrees that monetary damages may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The provisions of the Warrants may be modified or amended, or the provisions hereof waived only with the written consent of the Company and the Holder, provided, that the terms of Section 2(e) and this Section 5(m) may not be amended, modified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3169" w:type="dxa"/>
        <w:jc w:val="left"/>
        <w:tblInd w:w="0" w:type="dxa"/>
        <w:tblLayout w:type="fixed"/>
        <w:tblCellMar>
          <w:top w:w="0" w:type="dxa"/>
          <w:left w:w="0" w:type="dxa"/>
          <w:bottom w:w="0" w:type="dxa"/>
          <w:right w:w="0" w:type="dxa"/>
        </w:tblCellMar>
      </w:tblPr>
      <w:tblGrid>
        <w:gridCol w:w="75"/>
        <w:gridCol w:w="1057"/>
        <w:gridCol w:w="2037"/>
      </w:tblGrid>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OUTLOOK THERAPEUTICS, INC.</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left"/>
              <w:rPr/>
            </w:pPr>
            <w:r>
              <w:rPr/>
              <w:t> </w:t>
            </w:r>
          </w:p>
        </w:tc>
        <w:tc>
          <w:tcPr>
            <w:tcW w:w="20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Outlook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38"/>
        <w:gridCol w:w="60"/>
        <w:gridCol w:w="75"/>
      </w:tblGrid>
      <w:tr>
        <w:trPr/>
        <w:tc>
          <w:tcPr>
            <w:tcW w:w="38"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[After giving effect to this Notice of Exercise, the undersigned will not have exceeded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undersigned is an “accredited investor” as defined in Regulation D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 or by physical delivery of a certificate to:</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28" w:type="dxa"/>
          <w:right w:w="0" w:type="dxa"/>
        </w:tblCellMar>
      </w:tblPr>
      <w:tblGrid>
        <w:gridCol w:w="75"/>
        <w:gridCol w:w="60"/>
        <w:gridCol w:w="75"/>
      </w:tblGrid>
      <w:tr>
        <w:trPr/>
        <w:tc>
          <w:tcPr>
            <w:tcW w:w="75"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210"/>
        <w:gridCol w:w="135"/>
      </w:tblGrid>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Investing Entity: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4640" w:type="dxa"/>
        <w:jc w:val="left"/>
        <w:tblInd w:w="0" w:type="dxa"/>
        <w:tblLayout w:type="fixed"/>
        <w:tblCellMar>
          <w:top w:w="0" w:type="dxa"/>
          <w:left w:w="0" w:type="dxa"/>
          <w:bottom w:w="0" w:type="dxa"/>
          <w:right w:w="0" w:type="dxa"/>
        </w:tblCellMar>
      </w:tblPr>
      <w:tblGrid>
        <w:gridCol w:w="4505"/>
        <w:gridCol w:w="135"/>
      </w:tblGrid>
      <w:tr>
        <w:trPr/>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Signature </w:t>
            </w:r>
            <w:r>
              <w:rPr>
                <w:rFonts w:ascii="Times New Roman;Times;Serif" w:hAnsi="Times New Roman;Times;Serif"/>
                <w:i/>
                <w:sz w:val="20"/>
              </w:rPr>
              <w:t>of Authorized Signatory of Investing Entity</w:t>
            </w:r>
            <w:r>
              <w:rPr>
                <w:rFonts w:ascii="Times New Roman;Times;Serif" w:hAnsi="Times New Roman;Times;Serif"/>
                <w:sz w:val="20"/>
              </w:rPr>
              <w:t>: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2780" w:type="dxa"/>
        <w:jc w:val="left"/>
        <w:tblInd w:w="0" w:type="dxa"/>
        <w:tblLayout w:type="fixed"/>
        <w:tblCellMar>
          <w:top w:w="0" w:type="dxa"/>
          <w:left w:w="0" w:type="dxa"/>
          <w:bottom w:w="0" w:type="dxa"/>
          <w:right w:w="0" w:type="dxa"/>
        </w:tblCellMar>
      </w:tblPr>
      <w:tblGrid>
        <w:gridCol w:w="2645"/>
        <w:gridCol w:w="135"/>
      </w:tblGrid>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Authorized Signatory: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2705" w:type="dxa"/>
        <w:jc w:val="left"/>
        <w:tblInd w:w="0" w:type="dxa"/>
        <w:tblLayout w:type="fixed"/>
        <w:tblCellMar>
          <w:top w:w="0" w:type="dxa"/>
          <w:left w:w="0" w:type="dxa"/>
          <w:bottom w:w="0" w:type="dxa"/>
          <w:right w:w="0" w:type="dxa"/>
        </w:tblCellMar>
      </w:tblPr>
      <w:tblGrid>
        <w:gridCol w:w="2570"/>
        <w:gridCol w:w="135"/>
      </w:tblGrid>
      <w:tr>
        <w:trPr/>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Signatory: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tbl>
      <w:tblPr>
        <w:tblW w:w="680" w:type="dxa"/>
        <w:jc w:val="left"/>
        <w:tblInd w:w="0" w:type="dxa"/>
        <w:tblLayout w:type="fixed"/>
        <w:tblCellMar>
          <w:top w:w="0" w:type="dxa"/>
          <w:left w:w="0" w:type="dxa"/>
          <w:bottom w:w="0" w:type="dxa"/>
          <w:right w:w="0" w:type="dxa"/>
        </w:tblCellMar>
      </w:tblPr>
      <w:tblGrid>
        <w:gridCol w:w="545"/>
        <w:gridCol w:w="135"/>
      </w:tblGrid>
      <w:tr>
        <w:trPr/>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w:t>
        <w:br/>
        <w:t>this form and supply required information.</w:t>
        <w:br/>
        <w:t>Do not use this form to exercise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all of or [_______] shares of Warrant Number ___ and all rights evidenced thereby are hereby assigned to the following:</w:t>
      </w:r>
    </w:p>
    <w:p>
      <w:pPr>
        <w:pStyle w:val="TextBody"/>
        <w:bidi w:val="0"/>
        <w:spacing w:before="0" w:after="0"/>
        <w:ind w:left="0" w:right="0" w:hanging="0"/>
        <w:jc w:val="left"/>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740"/>
        <w:gridCol w:w="65"/>
        <w:gridCol w:w="75"/>
      </w:tblGrid>
      <w:tr>
        <w:trPr/>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right"/>
              <w:rPr/>
            </w:pPr>
            <w:r>
              <w:rPr/>
              <w:t> </w:t>
            </w:r>
          </w:p>
        </w:tc>
      </w:tr>
      <w:tr>
        <w:trPr/>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right"/>
              <w:rPr/>
            </w:pPr>
            <w:r>
              <w:rPr/>
              <w:t> </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right"/>
              <w:rPr/>
            </w:pPr>
            <w:r>
              <w:rPr/>
              <w:t> </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5"/>
        <w:gridCol w:w="1625"/>
        <w:gridCol w:w="2765"/>
      </w:tblGrid>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____________, _______</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Name:</w:t>
            </w:r>
          </w:p>
        </w:tc>
        <w:tc>
          <w:tcPr>
            <w:tcW w:w="27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27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27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7" w:name="tm2622399d2_ex5-1.htm"/>
      <w:bookmarkStart w:id="28" w:name="kstm2622399d2_ex51"/>
      <w:bookmarkEnd w:id="27"/>
      <w:bookmarkEnd w:id="28"/>
      <w:r>
        <w:rPr/>
        <w:t> </w:t>
      </w:r>
      <w:r>
        <w:br w:type="page"/>
      </w:r>
    </w:p>
    <w:p>
      <w:pPr>
        <w:pStyle w:val="TextBody"/>
        <w:bidi w:val="0"/>
        <w:spacing w:before="0" w:after="0"/>
        <w:ind w:left="0" w:right="0" w:hanging="0"/>
        <w:jc w:val="right"/>
        <w:rPr>
          <w:b/>
        </w:rPr>
      </w:pPr>
      <w:r>
        <w:rPr>
          <w:b/>
        </w:rPr>
        <w:t>Exhibit 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54380" cy="260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4380" cy="260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Yvan-Claude Pierre </w:t>
        <w:br/>
        <w:t xml:space="preserve">+1 212 479 6721 </w:t>
        <w:br/>
        <w:t>ypierre@cooley.com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S. Wood Avenue, Unit #100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Outlook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offering of (i) up to 63,888,889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its common stock, par value $0.01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including up to 8,333,333 Shares that may be sold pursuant to the exercise of an option to purchase additional shares and (ii) accompanying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to purchase up to 63,888,889 shares of Common Stock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including warrants to purchase up to 8,333,333 shares of Common Stock pursuant to the exercise of an option to purchase additional warrants, pursuant to the Registration Statement on Form S-3 (File No. 333-278340)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by the Company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prospectus included in the Registration Statement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the prospectus supplement dated August 12, 2026, filed with the Commission pursuant to Rule 424(b) under the Securities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the Prospectus, the forms of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our opinion below with respect to the Warrant Shares, we have assumed (i) that a sufficient number of shares of Common Stock will be available for issuance under the Company’s certificate of incorporation at the time the Warrant Shares are issued and (ii) that the consideration received by the Company upon exercise of the Warrants will at least equal to the par value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our opinion concerning the Warrants constituting valid and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Cooley LLP 55 Hudson Yards, New York, NY 10001-2157,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t: (212) 479-6000, f: (212) 479-6275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54380" cy="260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4380" cy="260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283"/>
              <w:jc w:val="left"/>
              <w:rPr/>
            </w:pPr>
            <w:r>
              <w:rPr/>
              <w:t xml:space="preserve">Outlook Therapeutics, Inc. </w:t>
              <w:br/>
              <w:t>August 14, 2026</w:t>
              <w:br/>
              <w:t>Page Two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Our opinion is subject to the qualification that the availability of specific performance, an injunction or other equitable remedies is subject to the discretion of the court before which the request is brought.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We express no opinion as to any provision of the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validates conclusive or discretionary determinations, or (g) provides that provisions of the Warrants are severable to the extent an essential part of the agreed exchange is determined to be invalid and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We express no opinion as to whether a state court outside of the State of New York or a federal court of the United States would give effect to the choice of New York law or jurisdiction provided for in the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solely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in reliance thereon and subject to the assumption, exception, limitations and qualifications set forth herein, we are of the opinion that (i) the Shares, when sold and issued against payment therefor in accordance with the Registration Statement and the Prospectus, will be validly issued, fully paid and non-assessable, (ii) the Warrants, when duly executed by the Company and delivered against payment therefor as described in the Registration Statement and the Prospectus, will be binding obligations of the Company and (iii) the Warrant Shares, when issued and paid for in accordance with the terms of the Warrants,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heading “Legal Matters” in the Prospectus and to the filing of this opinion as an exhibit to the Company’s Current Report on Form 8-K filed with the Commission for incorporation by reference into the Registration Statement.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Cooley LLP 55 Hudson Yards, New York, NY 10001-2157,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 (212) 479-6000, f: (212) 479-6275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54380" cy="260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4380" cy="260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283"/>
              <w:jc w:val="left"/>
              <w:rPr/>
            </w:pPr>
            <w:r>
              <w:rPr/>
              <w:t xml:space="preserve">Outlook Therapeutics, Inc. </w:t>
              <w:br/>
              <w:t>August 14, 2026</w:t>
              <w:br/>
              <w:t>Page Three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Cooley LLP</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35"/>
        <w:gridCol w:w="185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Yvan-Claude Pierre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left"/>
              <w:rPr>
                <w:sz w:val="20"/>
              </w:rPr>
            </w:pPr>
            <w:r>
              <w:rPr>
                <w:sz w:val="20"/>
              </w:rPr>
              <w:t>Yvan-Claude Pierre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Cooley LLP 55 Hudson Yards, New York, NY 10001-2157,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t: (212) 479-6000, f: (212) 479-6275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35816</Words>
  <Characters>189255</Characters>
  <CharactersWithSpaces>226812</CharactersWithSpaces>
  <Paragraphs>1213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