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tm2619649d5_424b3.htm"/>
      <w:bookmarkStart w:id="1" w:name="kstm2619649d5_424b3"/>
      <w:bookmarkEnd w:id="0"/>
      <w:bookmarkEnd w:id="1"/>
      <w:r>
        <w:rPr/>
        <w:t> </w:t>
      </w:r>
    </w:p>
    <w:p>
      <w:pPr>
        <w:pStyle w:val="TextBody"/>
        <w:bidi w:val="0"/>
        <w:spacing w:before="0" w:after="0"/>
        <w:jc w:val="right"/>
        <w:rPr>
          <w:b/>
        </w:rPr>
      </w:pPr>
      <w:r>
        <w:rPr>
          <w:b/>
        </w:rPr>
        <w:t xml:space="preserve">Filed pursuant to 424(b)(3) </w:t>
        <w:br/>
        <w:t>Registration No. 333-297532</w:t>
      </w:r>
    </w:p>
    <w:p>
      <w:pPr>
        <w:pStyle w:val="TextBody"/>
        <w:bidi w:val="0"/>
        <w:spacing w:before="0" w:after="0"/>
        <w:jc w:val="center"/>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6860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6050" cy="771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17,258,065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offer and resale from time to time by the selling stockholders of up to an aggregate of 17,258,065 shares of our common stock, issued by us in connection with a securities offering that closed on April 23, 2026, consisting of (i) 16,129,033 shares of common stock issuable upon the exercise of outstanding warrants, or the Common Warrants, issued to certain of the selling stockholders in a private placement and (ii) 1,129,032 shares of common stock issuable upon the exercise of outstanding placement agent warrants, or the Placement Agent Warrants and, together with the Common Warrants, the Warrants, issued to the placement agent for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filing this Registration Statement on Form S-3, of which this prospectus forms a part, to fulfill our contractual obligations with the selling stockholders to provide for the resale by the selling stockholders of the shares of our common stock described in this prospectus. The registration of the shares to which this prospectus relates does not require the selling stockholders to sell any of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shares of common stock under this prospectus and will not receive any proceeds from the sale by the selling stockholders of such shares. We will, however, receive the net proceeds of any Warrants exercised for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offer and sell or otherwise dispose of the shares of our common stock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shares and any transfer taxes. We will bear all other costs, expenses and fees in connection with the registration of the shares. See “Plan of Distribution” for more information about how the selling stockholders may sell or dispose of their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“OTLK.” On July 20, 2026, the last reported sale price of our common stock was $1.38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Before making an investment decision, please read the information under “Risk Factors” on page 6 of this prospectus and under similar headings in any amendment or supplement to this prospectus or in any filing with the Securities and Exchange Commission that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5765"/>
        <w:gridCol w:w="245"/>
      </w:tblGrid>
      <w:tr>
        <w:trPr/>
        <w:tc>
          <w:tcPr>
            <w:tcW w:w="5765" w:type="dxa"/>
            <w:tcBorders/>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ABOUT THIS PROSPECTUS</w:t>
              </w:r>
            </w:hyperlink>
          </w:p>
        </w:tc>
        <w:tc>
          <w:tcPr>
            <w:tcW w:w="245" w:type="dxa"/>
            <w:tcBorders/>
            <w:vAlign w:val="center"/>
          </w:tcPr>
          <w:p>
            <w:pPr>
              <w:pStyle w:val="TableContents"/>
              <w:bidi w:val="0"/>
              <w:spacing w:before="0" w:after="283"/>
              <w:jc w:val="right"/>
              <w:rPr/>
            </w:pPr>
            <w:hyperlink w:anchor="a_002">
              <w:r>
                <w:rPr>
                  <w:rStyle w:val="InternetLink"/>
                  <w:rFonts w:ascii="Times New Roman;Times;Serif" w:hAnsi="Times New Roman;Times;Serif"/>
                  <w:b w:val="false"/>
                  <w:i w:val="false"/>
                  <w:caps w:val="false"/>
                  <w:smallCaps w:val="false"/>
                  <w:sz w:val="20"/>
                </w:rPr>
                <w:t>ii</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SPECIAL NOTE REGARDING FORWARD-LOOKING STATEMENTS</w:t>
              </w:r>
            </w:hyperlink>
          </w:p>
        </w:tc>
        <w:tc>
          <w:tcPr>
            <w:tcW w:w="245" w:type="dxa"/>
            <w:tcBorders/>
            <w:vAlign w:val="center"/>
          </w:tcPr>
          <w:p>
            <w:pPr>
              <w:pStyle w:val="TableContents"/>
              <w:bidi w:val="0"/>
              <w:spacing w:before="0" w:after="283"/>
              <w:jc w:val="right"/>
              <w:rPr/>
            </w:pPr>
            <w:hyperlink w:anchor="a_003">
              <w:r>
                <w:rPr>
                  <w:rStyle w:val="InternetLink"/>
                  <w:rFonts w:ascii="Times New Roman;Times;Serif" w:hAnsi="Times New Roman;Times;Serif"/>
                  <w:b w:val="false"/>
                  <w:i w:val="false"/>
                  <w:caps w:val="false"/>
                  <w:smallCaps w:val="false"/>
                  <w:sz w:val="20"/>
                </w:rPr>
                <w:t>iii</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PROSPECTUS SUMMARY</w:t>
              </w:r>
            </w:hyperlink>
          </w:p>
        </w:tc>
        <w:tc>
          <w:tcPr>
            <w:tcW w:w="245" w:type="dxa"/>
            <w:tcBorders/>
            <w:vAlign w:val="center"/>
          </w:tcPr>
          <w:p>
            <w:pPr>
              <w:pStyle w:val="TableContents"/>
              <w:bidi w:val="0"/>
              <w:spacing w:before="0" w:after="283"/>
              <w:jc w:val="right"/>
              <w:rPr/>
            </w:pPr>
            <w:hyperlink w:anchor="a_004">
              <w:r>
                <w:rPr>
                  <w:rStyle w:val="InternetLink"/>
                  <w:rFonts w:ascii="Times New Roman;Times;Serif" w:hAnsi="Times New Roman;Times;Serif"/>
                  <w:b w:val="false"/>
                  <w:i w:val="false"/>
                  <w:caps w:val="false"/>
                  <w:smallCaps w:val="false"/>
                  <w:sz w:val="20"/>
                </w:rPr>
                <w:t>1</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THE OFFERING</w:t>
              </w:r>
            </w:hyperlink>
          </w:p>
        </w:tc>
        <w:tc>
          <w:tcPr>
            <w:tcW w:w="245" w:type="dxa"/>
            <w:tcBorders/>
            <w:vAlign w:val="center"/>
          </w:tcPr>
          <w:p>
            <w:pPr>
              <w:pStyle w:val="TableContents"/>
              <w:bidi w:val="0"/>
              <w:spacing w:before="0" w:after="283"/>
              <w:jc w:val="right"/>
              <w:rPr/>
            </w:pPr>
            <w:hyperlink w:anchor="a_006">
              <w:r>
                <w:rPr>
                  <w:rStyle w:val="InternetLink"/>
                  <w:rFonts w:ascii="Times New Roman;Times;Serif" w:hAnsi="Times New Roman;Times;Serif"/>
                  <w:b w:val="false"/>
                  <w:i w:val="false"/>
                  <w:caps w:val="false"/>
                  <w:smallCaps w:val="false"/>
                  <w:sz w:val="20"/>
                </w:rPr>
                <w:t>5</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RISK FACTORS</w:t>
              </w:r>
            </w:hyperlink>
          </w:p>
        </w:tc>
        <w:tc>
          <w:tcPr>
            <w:tcW w:w="245" w:type="dxa"/>
            <w:tcBorders/>
            <w:vAlign w:val="center"/>
          </w:tcPr>
          <w:p>
            <w:pPr>
              <w:pStyle w:val="TableContents"/>
              <w:bidi w:val="0"/>
              <w:spacing w:before="0" w:after="283"/>
              <w:jc w:val="right"/>
              <w:rPr/>
            </w:pPr>
            <w:hyperlink w:anchor="a_007">
              <w:r>
                <w:rPr>
                  <w:rStyle w:val="InternetLink"/>
                  <w:rFonts w:ascii="Times New Roman;Times;Serif" w:hAnsi="Times New Roman;Times;Serif"/>
                  <w:b w:val="false"/>
                  <w:i w:val="false"/>
                  <w:caps w:val="false"/>
                  <w:smallCaps w:val="false"/>
                  <w:sz w:val="20"/>
                </w:rPr>
                <w:t>6</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USE OF PROCEEDS</w:t>
              </w:r>
            </w:hyperlink>
          </w:p>
        </w:tc>
        <w:tc>
          <w:tcPr>
            <w:tcW w:w="245" w:type="dxa"/>
            <w:tcBorders/>
            <w:vAlign w:val="center"/>
          </w:tcPr>
          <w:p>
            <w:pPr>
              <w:pStyle w:val="TableContents"/>
              <w:bidi w:val="0"/>
              <w:spacing w:before="0" w:after="283"/>
              <w:jc w:val="right"/>
              <w:rPr/>
            </w:pPr>
            <w:hyperlink w:anchor="a_008">
              <w:r>
                <w:rPr>
                  <w:rStyle w:val="InternetLink"/>
                  <w:rFonts w:ascii="Times New Roman;Times;Serif" w:hAnsi="Times New Roman;Times;Serif"/>
                  <w:b w:val="false"/>
                  <w:i w:val="false"/>
                  <w:caps w:val="false"/>
                  <w:smallCaps w:val="false"/>
                  <w:sz w:val="20"/>
                </w:rPr>
                <w:t>7</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SELLING STOCKHOLDERS</w:t>
              </w:r>
            </w:hyperlink>
          </w:p>
        </w:tc>
        <w:tc>
          <w:tcPr>
            <w:tcW w:w="245" w:type="dxa"/>
            <w:tcBorders/>
            <w:vAlign w:val="center"/>
          </w:tcPr>
          <w:p>
            <w:pPr>
              <w:pStyle w:val="TableContents"/>
              <w:bidi w:val="0"/>
              <w:spacing w:before="0" w:after="283"/>
              <w:jc w:val="right"/>
              <w:rPr/>
            </w:pPr>
            <w:hyperlink w:anchor="a_009">
              <w:r>
                <w:rPr>
                  <w:rStyle w:val="InternetLink"/>
                  <w:rFonts w:ascii="Times New Roman;Times;Serif" w:hAnsi="Times New Roman;Times;Serif"/>
                  <w:b w:val="false"/>
                  <w:i w:val="false"/>
                  <w:caps w:val="false"/>
                  <w:smallCaps w:val="false"/>
                  <w:sz w:val="20"/>
                </w:rPr>
                <w:t>8</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PLAN OF DISTRIBUTION</w:t>
              </w:r>
            </w:hyperlink>
          </w:p>
        </w:tc>
        <w:tc>
          <w:tcPr>
            <w:tcW w:w="245" w:type="dxa"/>
            <w:tcBorders/>
            <w:vAlign w:val="center"/>
          </w:tcPr>
          <w:p>
            <w:pPr>
              <w:pStyle w:val="TableContents"/>
              <w:bidi w:val="0"/>
              <w:spacing w:before="0" w:after="283"/>
              <w:jc w:val="right"/>
              <w:rPr/>
            </w:pPr>
            <w:hyperlink w:anchor="a_010">
              <w:r>
                <w:rPr>
                  <w:rStyle w:val="InternetLink"/>
                  <w:rFonts w:ascii="Times New Roman;Times;Serif" w:hAnsi="Times New Roman;Times;Serif"/>
                  <w:b w:val="false"/>
                  <w:i w:val="false"/>
                  <w:caps w:val="false"/>
                  <w:smallCaps w:val="false"/>
                  <w:sz w:val="20"/>
                </w:rPr>
                <w:t>11</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pPr>
            <w:r>
              <w:rPr/>
              <w:t> </w:t>
            </w:r>
          </w:p>
        </w:tc>
      </w:tr>
      <w:tr>
        <w:trPr/>
        <w:tc>
          <w:tcPr>
            <w:tcW w:w="5765" w:type="dxa"/>
            <w:tcBorders/>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EXPERTS</w:t>
              </w:r>
            </w:hyperlink>
          </w:p>
        </w:tc>
        <w:tc>
          <w:tcPr>
            <w:tcW w:w="245" w:type="dxa"/>
            <w:tcBorders/>
            <w:vAlign w:val="center"/>
          </w:tcPr>
          <w:p>
            <w:pPr>
              <w:pStyle w:val="TableContents"/>
              <w:bidi w:val="0"/>
              <w:spacing w:before="0" w:after="283"/>
              <w:jc w:val="right"/>
              <w:rPr/>
            </w:pPr>
            <w:hyperlink w:anchor="a_011">
              <w:r>
                <w:rPr>
                  <w:rStyle w:val="InternetLink"/>
                  <w:rFonts w:ascii="Times New Roman;Times;Serif" w:hAnsi="Times New Roman;Times;Serif"/>
                  <w:b w:val="false"/>
                  <w:i w:val="false"/>
                  <w:caps w:val="false"/>
                  <w:smallCaps w:val="false"/>
                  <w:sz w:val="20"/>
                </w:rPr>
                <w:t>13</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LEGAL MATTERS</w:t>
              </w:r>
            </w:hyperlink>
          </w:p>
        </w:tc>
        <w:tc>
          <w:tcPr>
            <w:tcW w:w="245" w:type="dxa"/>
            <w:tcBorders/>
            <w:vAlign w:val="center"/>
          </w:tcPr>
          <w:p>
            <w:pPr>
              <w:pStyle w:val="TableContents"/>
              <w:bidi w:val="0"/>
              <w:spacing w:before="0" w:after="283"/>
              <w:jc w:val="right"/>
              <w:rPr/>
            </w:pPr>
            <w:hyperlink w:anchor="a_012">
              <w:r>
                <w:rPr>
                  <w:rStyle w:val="InternetLink"/>
                  <w:rFonts w:ascii="Times New Roman;Times;Serif" w:hAnsi="Times New Roman;Times;Serif"/>
                  <w:b w:val="false"/>
                  <w:i w:val="false"/>
                  <w:caps w:val="false"/>
                  <w:smallCaps w:val="false"/>
                  <w:sz w:val="20"/>
                </w:rPr>
                <w:t>13</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WHERE YOU CAN FIND ADDITIONAL INFORMATION</w:t>
              </w:r>
            </w:hyperlink>
          </w:p>
        </w:tc>
        <w:tc>
          <w:tcPr>
            <w:tcW w:w="245" w:type="dxa"/>
            <w:tcBorders/>
            <w:vAlign w:val="center"/>
          </w:tcPr>
          <w:p>
            <w:pPr>
              <w:pStyle w:val="TableContents"/>
              <w:bidi w:val="0"/>
              <w:spacing w:before="0" w:after="283"/>
              <w:jc w:val="right"/>
              <w:rPr/>
            </w:pPr>
            <w:hyperlink w:anchor="a_013">
              <w:r>
                <w:rPr>
                  <w:rStyle w:val="InternetLink"/>
                  <w:rFonts w:ascii="Times New Roman;Times;Serif" w:hAnsi="Times New Roman;Times;Serif"/>
                  <w:b w:val="false"/>
                  <w:i w:val="false"/>
                  <w:caps w:val="false"/>
                  <w:smallCaps w:val="false"/>
                  <w:sz w:val="20"/>
                </w:rPr>
                <w:t>13</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INCORPORATION OF CERTAIN INFORMATION BY REFERENCE</w:t>
              </w:r>
            </w:hyperlink>
          </w:p>
        </w:tc>
        <w:tc>
          <w:tcPr>
            <w:tcW w:w="245" w:type="dxa"/>
            <w:tcBorders/>
            <w:vAlign w:val="center"/>
          </w:tcPr>
          <w:p>
            <w:pPr>
              <w:pStyle w:val="TableContents"/>
              <w:bidi w:val="0"/>
              <w:spacing w:before="0" w:after="283"/>
              <w:jc w:val="right"/>
              <w:rPr/>
            </w:pPr>
            <w:hyperlink w:anchor="a_014">
              <w:r>
                <w:rPr>
                  <w:rStyle w:val="InternetLink"/>
                  <w:rFonts w:ascii="Times New Roman;Times;Serif" w:hAnsi="Times New Roman;Times;Serif"/>
                  <w:b w:val="false"/>
                  <w:i w:val="false"/>
                  <w:caps w:val="false"/>
                  <w:smallCaps w:val="false"/>
                  <w:sz w:val="20"/>
                </w:rPr>
                <w:t>14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2"/>
      <w:bookmarkEnd w:id="2"/>
      <w:r>
        <w:rPr>
          <w:rFonts w:ascii="Times New Roman;Times;Serif" w:hAnsi="Times New Roman;Times;Serif"/>
          <w:b/>
          <w:i w:val="false"/>
          <w:caps/>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or SEC, using a “shelf” registration process. Under this registration statement, the selling stockholders may from time to time sell the shares of common stock described in this prospectus in one or more offerings of the common stock described under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the selling stockholders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3"/>
      <w:bookmarkEnd w:id="3"/>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documents that we incorporate by reference herein, contains, and any applicable prospectus supplement including the documents we incorporate by reference therein may contain, “forward-looking statements” within the meaning of Section 27A of the Securities Act of 1933, as amended, or the Securities Act, and Section 21E of the Securities Exchange Act of 1934, as amended, or the Exchange Act. These statements relate to our future events, including our anticipated operations, research, development, manufacturing and commercialization activities, clinical trials, operating results and financial condition. These 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obtain and maintain regulatory approval for ONS-5010/LYTENAVA in the United States and other markets;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remedy the deficiencies identified in the most recent complete response letter issued by the FDA;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successfully commercialize and generate revenues from the sale of LYTENAVA™ (bevacizumab gamma) in the United Kingdom and European Union;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rate and degree of market acceptance of our current and future product candidates, including our commercialization strategy and manufacturing capabilities for ONS-5010/LYTENAVA;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fund our working capital requirements, the sufficiency of our current cash resources and our need for additional funding;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expectations regarding the potential market size and the size of the patient populations for our product candidates, if approved, for commercial use;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results of our clinical trials will be sufficient to support domestic or global regulatory approvals;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initiation, timing, progress and results of our clinical trials of our lead product candidate, ONS-5010/LYTENAVA;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74"/>
        <w:gridCol w:w="9979"/>
      </w:tblGrid>
      <w:tr>
        <w:trPr/>
        <w:tc>
          <w:tcPr>
            <w:tcW w:w="5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Symbol" w:hAnsi="Symbol"/>
              </w:rPr>
            </w:pPr>
            <w:r>
              <w:rPr>
                <w:rFonts w:ascii="Symbol" w:hAnsi="Symbol"/>
              </w:rPr>
              <w:t>·</w:t>
            </w:r>
          </w:p>
        </w:tc>
        <w:tc>
          <w:tcPr>
            <w:tcW w:w="99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reliance on our contract manufacturing organizations and other vendors;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0"/>
        <w:gridCol w:w="10036"/>
      </w:tblGrid>
      <w:tr>
        <w:trPr/>
        <w:tc>
          <w:tcPr>
            <w:tcW w:w="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Symbol" w:hAnsi="Symbol"/>
              </w:rPr>
            </w:pPr>
            <w:r>
              <w:rPr>
                <w:rFonts w:ascii="Symbol" w:hAnsi="Symbol"/>
              </w:rPr>
              <w:t>·</w:t>
            </w:r>
          </w:p>
        </w:tc>
        <w:tc>
          <w:tcPr>
            <w:tcW w:w="100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implementation of our business model and strategic plans for our business and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49"/>
        <w:gridCol w:w="10011"/>
      </w:tblGrid>
      <w:tr>
        <w:trPr/>
        <w:tc>
          <w:tcPr>
            <w:tcW w:w="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Symbol" w:hAnsi="Symbol"/>
              </w:rPr>
            </w:pPr>
            <w:r>
              <w:rPr>
                <w:rFonts w:ascii="Symbol" w:hAnsi="Symbol"/>
              </w:rPr>
              <w:t>·</w:t>
            </w:r>
          </w:p>
        </w:tc>
        <w:tc>
          <w:tcPr>
            <w:tcW w:w="100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developments or disputes concerning our intellectual property or other proprietary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6"/>
        <w:gridCol w:w="9989"/>
      </w:tblGrid>
      <w:tr>
        <w:trPr/>
        <w:tc>
          <w:tcPr>
            <w:tcW w:w="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Symbol" w:hAnsi="Symbol"/>
              </w:rPr>
            </w:pPr>
            <w:r>
              <w:rPr>
                <w:rFonts w:ascii="Symbol" w:hAnsi="Symbol"/>
              </w:rPr>
              <w:t>·</w:t>
            </w:r>
          </w:p>
        </w:tc>
        <w:tc>
          <w:tcPr>
            <w:tcW w:w="99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maintain and establish collaborations or obtain additional funding;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expectations regarding government and third-party payor coverage and reimbursement;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255"/>
        <w:gridCol w:w="9873"/>
      </w:tblGrid>
      <w:tr>
        <w:trPr/>
        <w:tc>
          <w:tcPr>
            <w:tcW w:w="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Symbol" w:hAnsi="Symbol"/>
              </w:rPr>
            </w:pPr>
            <w:r>
              <w:rPr>
                <w:rFonts w:ascii="Symbol" w:hAnsi="Symbol"/>
              </w:rPr>
              <w:t>·</w:t>
            </w:r>
          </w:p>
        </w:tc>
        <w:tc>
          <w:tcPr>
            <w:tcW w:w="98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compete in the markets we serve;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71"/>
        <w:gridCol w:w="9852"/>
      </w:tblGrid>
      <w:tr>
        <w:trPr/>
        <w:tc>
          <w:tcPr>
            <w:tcW w:w="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Symbol" w:hAnsi="Symbol"/>
              </w:rPr>
            </w:pPr>
            <w:r>
              <w:rPr>
                <w:rFonts w:ascii="Symbol" w:hAnsi="Symbol"/>
              </w:rPr>
              <w:t>·</w:t>
            </w:r>
          </w:p>
        </w:tc>
        <w:tc>
          <w:tcPr>
            <w:tcW w:w="98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factors that may impact our financial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In some cases, you can identify forward-looking statements by use of future dates or by terms such as: “anticipates,” “believes,” “continues,” “could,” “estimates,” “expects,” “intends,” “may,” “plans,” “seeks,” “should,” “will” and similar expressions intended to identify forward-looking statements. These statements reflect our current views with respect to future events, are based on assumptions and are subject to risks and uncertainties. Given these risks and uncertainties, you should not place undue reliance on these forward-looking statements. We discuss many of these risks in greater detail under the heading “Risk Factors” on page 6 of this prospectus and under the section titled “Risk Factors” contained in our Annual Report on Form 10-K for the fiscal year ended September 30, 2025, filed with the SEC on </w:t>
      </w:r>
      <w:hyperlink r:id="rId3">
        <w:r>
          <w:rPr>
            <w:rStyle w:val="InternetLink"/>
            <w:rFonts w:ascii="Times New Roman;Times;Serif" w:hAnsi="Times New Roman;Times;Serif"/>
            <w:b w:val="false"/>
            <w:i w:val="false"/>
            <w:caps w:val="false"/>
            <w:smallCaps w:val="false"/>
            <w:color w:val="0000FF"/>
            <w:sz w:val="20"/>
          </w:rPr>
          <w:t>December 19, 2025</w:t>
        </w:r>
      </w:hyperlink>
      <w:r>
        <w:rPr>
          <w:rFonts w:ascii="Times New Roman;Times;Serif" w:hAnsi="Times New Roman;Times;Serif"/>
          <w:b w:val="false"/>
          <w:i w:val="false"/>
          <w:caps w:val="false"/>
          <w:smallCaps w:val="false"/>
          <w:sz w:val="20"/>
        </w:rPr>
        <w:t>, as updated by our subsequent filings, which are incorporated by reference into this prospectus. These risks are not exhaustive. Additional factors could harm our business and financial performance, such as risks associated with the uncertainty of market conditions and future impacts related to macroeconomic factors, including as a result of global geopolitical conflict, tariffs and trade tensions, fluctuations in interest rates and inflation, and potential future bank failures on the global business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carefully read this prospectus, and any applicable prospectus supplement, together with the documents we have filed with the SEC that are incorporated by reference herein or therein,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4" w:name="a_004"/>
      <w:bookmarkEnd w:id="4"/>
      <w:r>
        <w:rPr>
          <w:rFonts w:ascii="Times New Roman;Times;Serif" w:hAnsi="Times New Roman;Times;Serif"/>
          <w:b/>
          <w:i w:val="false"/>
          <w:caps/>
          <w:sz w:val="20"/>
          <w:bdr w:val="single" w:sz="8" w:space="1" w:color="000000"/>
        </w:rPr>
        <w:t>PROSPECTUS SUMMARY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pPr>
      <w:r>
        <w:rPr>
          <w:rFonts w:ascii="Times New Roman;Times;Serif" w:hAnsi="Times New Roman;Times;Serif"/>
          <w:b w:val="false"/>
          <w:i/>
          <w:caps w:val="false"/>
          <w:smallCaps w:val="false"/>
          <w:sz w:val="20"/>
          <w:bdr w:val="single" w:sz="8" w:space="1" w:color="000000"/>
        </w:rPr>
        <w:t xml:space="preserve">This summary highlights selected information contained elsewhere in this prospectus and in the documents we incorporate by reference. This summary is not complete and does not contain all of the information you should consider before investing in our securities. You should read this entire prospectus carefully, especially the risks of investing in our securities discussed under “Risk Factors” beginning on page 6 of this prospectus and under similar headings in our Annual Report on Form 10-K for the fiscal year ended September 30, 2025, filed with the SEC on </w:t>
      </w:r>
      <w:hyperlink r:id="rId4">
        <w:r>
          <w:rPr>
            <w:rStyle w:val="InternetLink"/>
            <w:rFonts w:ascii="Times New Roman;Times;Serif" w:hAnsi="Times New Roman;Times;Serif"/>
            <w:b w:val="false"/>
            <w:i/>
            <w:caps w:val="false"/>
            <w:smallCaps w:val="false"/>
            <w:color w:val="0000FF"/>
            <w:sz w:val="20"/>
            <w:bdr w:val="single" w:sz="8" w:space="1" w:color="000000"/>
          </w:rPr>
          <w:t>December 19, 2025</w:t>
        </w:r>
      </w:hyperlink>
      <w:r>
        <w:rPr>
          <w:rFonts w:ascii="Times New Roman;Times;Serif" w:hAnsi="Times New Roman;Times;Serif"/>
          <w:b w:val="false"/>
          <w:i/>
          <w:caps w:val="false"/>
          <w:smallCaps w:val="false"/>
          <w:sz w:val="20"/>
          <w:bdr w:val="single" w:sz="8" w:space="1" w:color="000000"/>
        </w:rPr>
        <w:t>, as updated by our subsequent filings, which are incorporated by reference in this prospectus, along with our consolidated financial statements and notes to those consolidated financial statements and the other information incorporated by reference in this prospectus, before making an investment decision.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Unless the context indicates otherwise, references in this prospectus to “Outlook,” “Outlook Therapeutics,” the “Company,” “we,” “us,” “our” and similar references refer to Outlook Therapeutics, Inc., a Delaware corporation, and its subsidiaries on a consolidated basis.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Company Overview</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biopharmaceutical company that has developed LYTENAVA</w:t>
      </w:r>
      <w:r>
        <w:rPr>
          <w:rFonts w:ascii="Times New Roman;Times;Serif" w:hAnsi="Times New Roman;Times;Serif"/>
          <w:b w:val="false"/>
          <w:i w:val="false"/>
          <w:caps w:val="false"/>
          <w:smallCaps w:val="false"/>
          <w:position w:val="7"/>
          <w:sz w:val="16"/>
          <w:sz w:val="20"/>
          <w:bdr w:val="single" w:sz="8" w:space="1" w:color="000000"/>
        </w:rPr>
        <w:t>TM</w:t>
      </w:r>
      <w:r>
        <w:rPr>
          <w:rFonts w:ascii="Times New Roman;Times;Serif" w:hAnsi="Times New Roman;Times;Serif"/>
          <w:b w:val="false"/>
          <w:i w:val="false"/>
          <w:caps w:val="false"/>
          <w:smallCaps w:val="false"/>
          <w:sz w:val="20"/>
          <w:bdr w:val="single" w:sz="8" w:space="1" w:color="000000"/>
        </w:rPr>
        <w:t xml:space="preserve"> (bevacizumab gamma) as the first and only ophthalmic formulation of bevacizumab approved by the European Commission in the European Union, or EU, and the Medicines and Healthcare products Regulatory Agency, or MHRA, in the United Kingdom, or UK, for use in adults for the treatment of wet age-related macular degeneration, or wet AMD. In June 2025, we launched directly into the initial markets of Germany and the UK and are planning for launches in other EU countries either directly or with a licensing partner. Additionally, we are attempting to receive approval for ONS-5010/LYTENAVA by the U.S. Food and Drug Administration, or FDA, for the use of ONS-5010/LYTENAVA as a treatment for wet AMD in the United States. If approved in the U.S., our goal is to also launch directly in the United States as the first and only approved ophthalmic bevacizumab for the treatment of wet AMD. In addition to Europe and the United States, we may seek approval to launch the product in other markets outside of Europe and the U.S. either directly or with licensing partners.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Bevacizumab is a full-length, humanized anti-VEGF (Vascular Endothelial Growth Factor) recombinant monoclonal antibody, or mAb, that inhibits VEGF and associated angiogenic activity. Prior to the approval of ONS-5010/LYTENAVA in the EU and UK, bevacizumab had only been approved for use in the treatment of various forms of cancer and had not been optimized for use in the treatment of retina diseases. Because there previously were no approved bevacizumab products for the treatment of retinal diseases in the United States and other major markets, we submitted standard biologic therapeutic applications and are not using the biosimilar drug regulatory pathway that would be required if bevacizumab were an approved drug for the targeted disease. Off-label repackaged bevacizumab is a frequently used first-line anti-VEGF treatment in Europe (approximately 2.8 million injections annually) and the United States (approximately 2.7 million injections annually) based on data compiled from various sources (Citeline (2023), Global Data (2023) and Market Scope (2022); ASRS 2024 Membership Survey; Market Scope 2024 US Retina Quarterly Updates; GlobalData: Age-Related Macular Degeneration: Global Drug Forecast and Market Analysis to 2028 (April 2020)). We believe ONS-5010/LYTENAVA has potential to mitigate risks associated with off-label use of unapproved bevacizumab. We believe there is significant opportunity in Europe with a total anti-VEGF retina market estimated to be approximately $3.6 billion, including approximately 1.52 million treated patients and approximately 8.3 million total anti-VEGF units (Global Data (2023); Market Scope (2022); IQVIA MIDAS data Q3 2023; Graefe's Archive for Clinical and Experimental Ophthalmology (2020) 258:503–511). We similarly see significant opportunity in the United States, with an estimated $8.5 billion total anti-VEGF retina market, where 55% of physician state off-label repackaged bevacizumab is the preferred first-line product. It is estimated that 34% of the total anti-VEGF market is off-label bevacizumab (new and maintenance therapy) (Citeline (2023); Global Data (2023); Market Scope (2022); ASRS 2024 Membership Survey; Market Scope 2024 US Retina Quarterly Updates; GlobalData: Age-Related Macular Degeneration: Global Drug Forecast and Market Analysis to 2028 (April 2020)). We estimate the global market for anti-VEGF retina to be approximately $16 billion (Citeline (2023), Global Data (2023) and Market Scope (2022)).</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May 2024, the European Commission granted the Marketing Authorization for ONS-5010/LYTENAVA for the treatment of wet AMD in the EU. The decision applied automatically in all 27 EU Member States, and, within 30 days, also to Iceland, Norway and Liechtenstein. In July 2024, the MHRA granted marketing authorization for ONS-5010/LYTENAVA for the treatment of wet AMD in the UK under the new International Recognition Procedure, or IRP, which allows the MHRA to rely on an authorization received for the same product from one of MHRA’s specified Reference Regulators, or RRs, when considering an application for marketing authorization in the UK. ONS-5010/LYTENAVA is the first and only authorized ophthalmic formulation of bevacizumab for use in treating wet AMD in the EU and UK.</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Separately, in March 2022, we submitted a BLA to the FDA for ONS-5010/LYTENAVA for the treatment of wet AMD. In May 2022, we voluntarily withdrew our BLA to provide additional information requested by the FDA. We re-submitted the BLA to the FDA for ONS-5010/LYTENAVA in August 2022, and in October 2022, we received confirmation from the FDA that our BLA had been accepted for filing. In August 2023, we received a Complete Response Letter, or CRL, in which the FDA concluded it could not approve the BLA during this review cycle due to several chemical, manufacturing and control, or CMC, issues, open observations from pre-approval manufacturing inspections, and a lack of substantial evidence. At subsequent Type A meetings with the FDA, we learned that the FDA required the completion of an additional adequate and well-controlled clinical trial evaluating ONS-5010/LYTENAVA, as well as additional requested CMC data indicated in the CRL to approve ONS-5010/LYTENAVA for use in wet AMD.</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agreed to conduct an additional adequate and well-controlled clinical trial following discussions with the FDA in support of our BLA for ONS-5010/LYTENAVA. In December 2023, we submitted a Special Protocol Assessment, or SPA, to the FDA for this study (NORSE EIGHT) seeking confirmation that, if successful, it would address the FDA’s requirement for a second adequate and well-controlled clinical trial to support our planned resubmission of the ONS-5010/LYTENAVA BLA. In January 2024, we received confirmation that the FDA had reviewed and agreed upon the NORSE EIGHT trial protocol pursuant to the SPA. In November 2024, we reported that ONS-5010/LYTENAVA did not meet the pre-specified non-inferiority endpoint at week 8 set forth in the SPA. Analysis of the complete week 12 data set for NORSE EIGHT provided additional evidence of improvement in vision and biological activity. We resubmitted the BLA for ONS-5010/LYTENAVA in February 2025. On August 27, 2025, we received a second CRL from the FDA. This CRL included only one deficiency, for a lack of substantial evidence of effectiveness. In the CRL, the FDA advised that, because ONS-5010 did not meet the primary efficacy endpoint in NORSE EIGHT, it was recommended that confirmatory evidence of efficacy be submitted to support the application for ONS-5010. Additionally, the FDA reiterated that NORSE TWO met its primary endpoint for effectiveness. Following a September 2025 Type A meeting with the FDA, we resubmitted the BLA in October 2025. On December 31, 2025, we reported that we had received a third CRL in which the FDA noted that the additional mechanistic and natural history data information provided in the BLA resubmission does not alter the previous review conclusion that while the one adequate and well-controlled study demonstrated efficacy, and the FDA has again recommended that confirmatory evidence of efficacy be submitted to support the application. However, the FDA did not indicate in the CRL what type of confirmatory evidence would be acceptable. In March 2026, we conducted a Type A meeting with the FDA. In April 2026, we completed a Formal Dispute Resolution, or FDR, meeting with the Office of New Drugs, or the OND, at the FDA as part of our ongoing efforts to seek alignment with the FDA regarding regulatory pathways for ONS-5010. In May 2026, we announced that the FDA granted the appeal following completion of the FDR process with the OND. The FDA concluded that substantial evidence of effectiveness has been established for LYTENAVA™ for the treatment of neovascular age-related macular degeneration. As a result, in June 2026, we resubmitted the ONS-5010/LYTENAVA™ (bevacizumab-vikg) BLA. If approved, we expect to receive 12 years of regulatory exclusivity in the United States.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April 22, 2026, we entered into a securities purchase agreement, or the Purchase Agreement, with certain institutional investors, or the Investors, pursuant to which we agreed to issue and sell (i) in a registered direct offering priced at-the-market under the rules of The Nasdaq Stock Market, or the Registered Direct Offering, an aggregate of 16,129,033 shares of our common stock, or the Shares, pursuant to an effective shelf registration statement on Form S-3 (No. 333-278340) and a related prospectus and prospectus supplement thereunder, and (ii) in a concurrent private placement, or the Private Placement, and together with the Registered Direct Offering, the Offering, Common Warrants to purchase 16,129,033 shares of common stock. The combined purchase price of each Share and accompanying Common Warrant was $0.31. The Offering closed on April 23, 2026. At closing, we received net proceeds of $4.2 million, after deducting placement agent fees and offering expenses. We intend to use the net proceeds from the Offering primarily for working capital and general corporate purposes.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Common Warrants have a per share exercise price of $0.31 and became exercisable following satisfaction of the relevant conditions to exercise on</w:t>
        <w:tab/>
        <w:t>July 16, 2026. The Common Warrants expire on the fifth anniversary of the later of (i) July 16, 2026, and (ii) the date on which this registration statement becomes effective.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exercise price and the number of shares issuable upon exercise of the Common Warrants, or the Common Warrant Shares, are subject to customary adjustments in the event of stock dividends, stock splits, pro rata distributions or similar events in respect of the common stock. Subject to limited exceptions, a holder (together with its affiliates) of the Common Warrants will not be entitled to exercise any portion of any Common Warrant, which upon giving effect to such exercise would cause the aggregate number of shares of common stock beneficially owned by the holder (together with its affiliates) to exceed 4.99% (or, upon election of the holder, 9.99%) of the number of shares of the common stock outstanding immediately after giving effect to the exercise, subject to such holder’s rights under the Common Warrants to increase or decrease such percentage to another percentage not in excess of 9.99% upon notice from such holder to the Company (at least 61 days’ prior notice in the case of an increase).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H.C. Wainwright &amp; Co., LLC, or Wainwright or the Placement Agent, acted as our exclusive placement agent in connection with the Offering pursuant to an engagement letter, or the Engagement Letter, dated as of March 11, 2026, as amended on April 21, 2026, by and between the Company and the Placement Agent. Pursuant to the Engagement Letter, the Company agreed to issue to the Placement Agent (or its designees) Placement Agent Warrants to purchase up to 1,129,032 shares of common stock (equal to 7.0% of the aggregate number of Shares). The Placement Agent Warrants have an exercise price of $0.3875 per share (which is 125% of the offering price per Share and accompanying Common Warrant in the Offering). The Placement Agent Warrants will expire on April 22, 2031 and otherwise have substantially the same terms as the Common Warrants. In this prospectus, we refer to the Common Warrants together with the Placement Agent Warrants as the Warrants, the shares of common stock issuable upon exercise of the Placement Agent Warrants as the Placement Agent Warrant Shares and, the Placement Agent Warrant Shares together with the Common Warrant Shares as the Warrant Shares.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connection with the Offering, we agreed to file a registration statement on Form S-3 providing for the resale of the Warrant Shares, or the Resale Registration Statement, as soon as practicable (and in any event within five calendar days of the effective date of a charter amendment to increase the authorized shares of the Company). We are required to use commercially reasonable efforts to keep the Resale Registration Statement effective at all times until the earlier of (i) the date on which the Warrant Shares may be resold without registration and without regard to any volume or manner-of-sale limitations by reason of Rule 144 under the Securities Act, without the requirement for the Company to be in compliance with the current public information under Rule 144 under the Securities Act or any other rule of similar effect or (ii) all of the Warrant Shares have been sold pursuant to the Resale Registration Statement or Rule 144 under the Securities Act or any other rule of similar effect.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bdr w:val="single" w:sz="8" w:space="1" w:color="000000"/>
        </w:rPr>
        <w:t xml:space="preserve">For more information regarding the Offering, see our Current Report on Form 8-K filed with the SEC on </w:t>
      </w:r>
      <w:hyperlink r:id="rId5">
        <w:r>
          <w:rPr>
            <w:rStyle w:val="InternetLink"/>
            <w:rFonts w:ascii="Times New Roman;Times;Serif" w:hAnsi="Times New Roman;Times;Serif"/>
            <w:b w:val="false"/>
            <w:i w:val="false"/>
            <w:caps w:val="false"/>
            <w:smallCaps w:val="false"/>
            <w:color w:val="0000FF"/>
            <w:sz w:val="20"/>
            <w:bdr w:val="single" w:sz="8" w:space="1" w:color="000000"/>
          </w:rPr>
          <w:t>April 23, 2026</w:t>
        </w:r>
      </w:hyperlink>
      <w:r>
        <w:rPr>
          <w:rFonts w:ascii="Times New Roman;Times;Serif" w:hAnsi="Times New Roman;Times;Serif"/>
          <w:b w:val="false"/>
          <w:i w:val="false"/>
          <w:caps w:val="false"/>
          <w:smallCaps w:val="false"/>
          <w:sz w:val="20"/>
          <w:bdr w:val="single" w:sz="8" w:space="1" w:color="000000"/>
        </w:rPr>
        <w:t xml:space="preserve"> and incorporated herein by reference.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Intellectual Property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commercial success depends in part on our ability to avoid infringing the proprietary rights of third parties, our ability to obtain and maintain proprietary protection for our technologies where applicable and to prevent others from infringing our proprietary rights. We seek to protect our proprietary technologies by, among other methods, evaluating relevant patents, establishing defensive positions, monitoring EU oppositions and pending intellectual property rights, preparing litigation strategies in view of the U.S. legislative framework and filing United States and international patent applications on technologies, inventions and improvements that are important to our business. As of March 31, 2026, we own three U.S. patents, and twenty-four foreign patents, which relate to formulations developed for our legacy biosimilar program ONS-3010 and ONS-5010/ONS-1045, methods of antibody purification, methods for purifying antibodies to separate isoforms, methods of use, methods of reducing high molecular weight species, and modulating afucosylated species as well as efficiently determining the amino acid sequence of antibodies. Our Patent Cooperation Treaty, or PCT, Application No. PCT/US2017/016040, was filed in 2017. A U.S. patent in this family is granted and expected to expire no earlier than 2037. Our PCT Application No. PCT/US2017/012349, was filed in 2017. Patents are granted in Australia and Japan and expected to expire no earlier than 2037. Our Application No. PCT/US2016/068847 was filed in 2016. Patents in this family are granted in Germany, United Kingdom, India, and Japan, and expected to expire no earlier than 2036. Our PCT Application No. PCT/US2016/014252 was filed in 2016. Patents in this family are granted in Germany, United Kingdom, and the U.S., and expected to expire no earlier than 2036. Our PCT Application No. PCT/US2017/016549 was filed in 2017. Patents in this family are granted in India and Japan, and expected to expire no earlier than 2037. We also rely on trade secrets, know-how and continuing technological innovation to develop and maintain our proprietary position.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term of individual patents depends upon the legal term of the patents in countries in which they are obtained. In most countries, including the United States, the patent term is generally 20 years from the earliest date of filing a non-provisional patent application in the applicable country. In the United States, a patent’s term may, in certain cases, be lengthened by patent term adjustment, which compensates a patentee for administrative delays by the United States Patent and Trademark Office in examining and granting a patent or may be shortened if a patent is terminally disclaimed over a commonly owned patent or a patent naming a common inventor and having an earlier expiration date.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Company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initially incorporated in January 2010 in New Jersey as Oncobiologics, Inc., and in October 2015, we reincorporated in Delaware by merging with and into a Delaware corporation. In November 2018, we changed our name to Outlook Therapeutics, Inc. Our headquarters are located at 111 S. Wood Avenue, Unit #100, Iselin, New Jersey 08830, and our telephone number at that location is (609) 619-3990. Our website address is www.outlooktherapeutics.com. The information contained on, or that can be accessed through, our website is not part of, and is not incorporated by reference into this 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Implications of Being a Smaller Reporting Company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“smaller reporting company” as defined in the Exchange Act. As a smaller reporting company, we are eligible to take advantage of certain exemptions from disclosure requirements, including not being required to comply with the auditor attestation requirements of Section 404 of the Sarbanes-Oxley Act and reduced disclosure obligations regarding executive compensation. We will be able to take advantage of the scaled disclosures available to smaller reporting companies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5" w:name="a_006"/>
      <w:bookmarkEnd w:id="5"/>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701"/>
        <w:gridCol w:w="8504"/>
      </w:tblGrid>
      <w:tr>
        <w:trPr/>
        <w:tc>
          <w:tcPr>
            <w:tcW w:w="1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offered by the selling stockholders</w:t>
            </w:r>
          </w:p>
        </w:tc>
        <w:tc>
          <w:tcPr>
            <w:tcW w:w="85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17,258,065 shares of our common stock, consisting of (i) 16,129,033 Common Warrant Shares and (ii) 1,129,032 Placement Agent Warrant Shares.</w:t>
            </w:r>
          </w:p>
        </w:tc>
      </w:tr>
      <w:tr>
        <w:trPr/>
        <w:tc>
          <w:tcPr>
            <w:tcW w:w="1701" w:type="dxa"/>
            <w:tcBorders/>
            <w:vAlign w:val="center"/>
          </w:tcPr>
          <w:p>
            <w:pPr>
              <w:pStyle w:val="TableContents"/>
              <w:bidi w:val="0"/>
              <w:spacing w:before="0" w:after="283"/>
              <w:jc w:val="left"/>
              <w:rPr/>
            </w:pPr>
            <w:r>
              <w:rPr/>
              <w:t> </w:t>
            </w:r>
          </w:p>
        </w:tc>
        <w:tc>
          <w:tcPr>
            <w:tcW w:w="8504" w:type="dxa"/>
            <w:tcBorders/>
            <w:vAlign w:val="center"/>
          </w:tcPr>
          <w:p>
            <w:pPr>
              <w:pStyle w:val="TableContents"/>
              <w:bidi w:val="0"/>
              <w:spacing w:before="0" w:after="283"/>
              <w:jc w:val="left"/>
              <w:rPr/>
            </w:pPr>
            <w:r>
              <w:rPr/>
              <w:t> </w:t>
            </w:r>
          </w:p>
        </w:tc>
      </w:tr>
      <w:tr>
        <w:trPr/>
        <w:tc>
          <w:tcPr>
            <w:tcW w:w="1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 of distribution</w:t>
            </w:r>
          </w:p>
        </w:tc>
        <w:tc>
          <w:tcPr>
            <w:tcW w:w="85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selling stockholder will determine when and how it will sell the Warrant Shares offered in this prospectus, as described in “Plan of Distribution.”</w:t>
            </w:r>
          </w:p>
        </w:tc>
      </w:tr>
      <w:tr>
        <w:trPr/>
        <w:tc>
          <w:tcPr>
            <w:tcW w:w="1701" w:type="dxa"/>
            <w:tcBorders/>
            <w:vAlign w:val="center"/>
          </w:tcPr>
          <w:p>
            <w:pPr>
              <w:pStyle w:val="TableContents"/>
              <w:bidi w:val="0"/>
              <w:spacing w:before="0" w:after="283"/>
              <w:jc w:val="left"/>
              <w:rPr/>
            </w:pPr>
            <w:r>
              <w:rPr/>
              <w:t> </w:t>
            </w:r>
          </w:p>
        </w:tc>
        <w:tc>
          <w:tcPr>
            <w:tcW w:w="8504" w:type="dxa"/>
            <w:tcBorders/>
            <w:vAlign w:val="center"/>
          </w:tcPr>
          <w:p>
            <w:pPr>
              <w:pStyle w:val="TableContents"/>
              <w:bidi w:val="0"/>
              <w:spacing w:before="0" w:after="283"/>
              <w:jc w:val="left"/>
              <w:rPr/>
            </w:pPr>
            <w:r>
              <w:rPr/>
              <w:t> </w:t>
            </w:r>
          </w:p>
        </w:tc>
      </w:tr>
      <w:tr>
        <w:trPr/>
        <w:tc>
          <w:tcPr>
            <w:tcW w:w="1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85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not receive any proceeds from the sale of the Warrant Shares covered by this prospectus. We will, however, receive the net proceeds of any Warrants exercised for cash.</w:t>
            </w:r>
          </w:p>
        </w:tc>
      </w:tr>
      <w:tr>
        <w:trPr/>
        <w:tc>
          <w:tcPr>
            <w:tcW w:w="1701" w:type="dxa"/>
            <w:tcBorders/>
            <w:vAlign w:val="center"/>
          </w:tcPr>
          <w:p>
            <w:pPr>
              <w:pStyle w:val="TableContents"/>
              <w:bidi w:val="0"/>
              <w:spacing w:before="0" w:after="283"/>
              <w:jc w:val="left"/>
              <w:rPr/>
            </w:pPr>
            <w:r>
              <w:rPr/>
              <w:t> </w:t>
            </w:r>
          </w:p>
        </w:tc>
        <w:tc>
          <w:tcPr>
            <w:tcW w:w="8504" w:type="dxa"/>
            <w:tcBorders/>
            <w:vAlign w:val="center"/>
          </w:tcPr>
          <w:p>
            <w:pPr>
              <w:pStyle w:val="TableContents"/>
              <w:bidi w:val="0"/>
              <w:spacing w:before="0" w:after="283"/>
              <w:jc w:val="left"/>
              <w:rPr/>
            </w:pPr>
            <w:r>
              <w:rPr/>
              <w:t> </w:t>
            </w:r>
          </w:p>
        </w:tc>
      </w:tr>
      <w:tr>
        <w:trPr/>
        <w:tc>
          <w:tcPr>
            <w:tcW w:w="1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8504" w:type="dxa"/>
            <w:tcBorders/>
            <w:vAlign w:val="center"/>
          </w:tcPr>
          <w:p>
            <w:pPr>
              <w:pStyle w:val="TableContents"/>
              <w:bidi w:val="0"/>
              <w:spacing w:before="0" w:after="283"/>
              <w:jc w:val="both"/>
              <w:rPr/>
            </w:pPr>
            <w:r>
              <w:rPr>
                <w:rFonts w:ascii="Times New Roman;Times;Serif" w:hAnsi="Times New Roman;Times;Serif"/>
                <w:sz w:val="20"/>
              </w:rPr>
              <w:t xml:space="preserve">An investment in our common stock involves a high degree of risk. See the information contained in, or incorporated by reference in, the section titled “Risk Factors” beginning on page 6 of this prospectus and under similar headings in our Annual Report on Form 10-K for the fiscal year ended September 30, 2025, filed with the SEC on </w:t>
            </w:r>
            <w:hyperlink r:id="rId6">
              <w:r>
                <w:rPr>
                  <w:rStyle w:val="InternetLink"/>
                  <w:rFonts w:ascii="Times New Roman;Times;Serif" w:hAnsi="Times New Roman;Times;Serif"/>
                  <w:color w:val="0000FF"/>
                  <w:sz w:val="20"/>
                </w:rPr>
                <w:t>December 19, 2025</w:t>
              </w:r>
            </w:hyperlink>
            <w:r>
              <w:rPr>
                <w:rFonts w:ascii="Times New Roman;Times;Serif" w:hAnsi="Times New Roman;Times;Serif"/>
                <w:sz w:val="20"/>
              </w:rPr>
              <w:t>, as updated by our subsequent filings, which are incorporated by reference in this prospectus.</w:t>
            </w:r>
          </w:p>
        </w:tc>
      </w:tr>
      <w:tr>
        <w:trPr/>
        <w:tc>
          <w:tcPr>
            <w:tcW w:w="1701" w:type="dxa"/>
            <w:tcBorders/>
            <w:vAlign w:val="center"/>
          </w:tcPr>
          <w:p>
            <w:pPr>
              <w:pStyle w:val="TableContents"/>
              <w:bidi w:val="0"/>
              <w:spacing w:before="0" w:after="283"/>
              <w:jc w:val="left"/>
              <w:rPr/>
            </w:pPr>
            <w:r>
              <w:rPr/>
              <w:t> </w:t>
            </w:r>
          </w:p>
        </w:tc>
        <w:tc>
          <w:tcPr>
            <w:tcW w:w="8504" w:type="dxa"/>
            <w:tcBorders/>
            <w:vAlign w:val="center"/>
          </w:tcPr>
          <w:p>
            <w:pPr>
              <w:pStyle w:val="TableContents"/>
              <w:bidi w:val="0"/>
              <w:spacing w:before="0" w:after="283"/>
              <w:jc w:val="left"/>
              <w:rPr/>
            </w:pPr>
            <w:r>
              <w:rPr/>
              <w:t> </w:t>
            </w:r>
          </w:p>
        </w:tc>
      </w:tr>
      <w:tr>
        <w:trPr/>
        <w:tc>
          <w:tcPr>
            <w:tcW w:w="1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symbol</w:t>
            </w:r>
          </w:p>
        </w:tc>
        <w:tc>
          <w:tcPr>
            <w:tcW w:w="8504" w:type="dxa"/>
            <w:tcBorders/>
            <w:vAlign w:val="center"/>
          </w:tcPr>
          <w:p>
            <w:pPr>
              <w:pStyle w:val="TableContents"/>
              <w:bidi w:val="0"/>
              <w:spacing w:before="0" w:after="283"/>
              <w:jc w:val="both"/>
              <w:rPr/>
            </w:pPr>
            <w:r>
              <w:rPr/>
              <w:t>“</w:t>
            </w:r>
            <w:r>
              <w:rPr>
                <w:rFonts w:ascii="Times New Roman;Times;Serif" w:hAnsi="Times New Roman;Times;Serif"/>
                <w:sz w:val="20"/>
              </w:rPr>
              <w:t>OTLK”</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selling stockholders named in this prospectus may offer and sell up to 17,258,065 shares of our common stock. Our common stock is currently listed on The Nasdaq Capital Market under the symbol “OTLK.” Shares of our common stock that may be offered under this prospectus will be fully paid and non-assessable. We will not receive any of the proceeds of sales by the selling stockholders of any of the common stock covered by this prospectus. We will, however, receive the exercise price of $0.31 per share of any of the Common Warrants and the exercise price of $0.3875 per share of any of the Placement Agent Warrants exercised for cash. Throughout this prospectus, when we refer to the shares of our common stock being registered on behalf of the selling stockholders for offer and resale, we are referring to the Warrant Shares, which are the shares of common stock issuable upon exercise of the Warrants issued in connection with the Offering as described above. When we refer to the selling stockholders in this prospectus, we are referring to the selling stockholders identified in this prospectus and, as applicable, their permitted transferees or other successors-in-interest that may be identified in a supplement to this prospectus or, if required, a post-effective amendment to the registration statement of which this prospectus is a part.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7"/>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Investing in our securities involves a high degree of risk. You should carefully review the risks and uncertainties described under the heading “Risk Factors” in our Annual Report on Form 10-K for the fiscal year ended September 30, 2025, filed with the SEC on </w:t>
      </w:r>
      <w:hyperlink r:id="rId7">
        <w:r>
          <w:rPr>
            <w:rStyle w:val="InternetLink"/>
            <w:rFonts w:ascii="Times New Roman;Times;Serif" w:hAnsi="Times New Roman;Times;Serif"/>
            <w:b w:val="false"/>
            <w:i w:val="false"/>
            <w:caps w:val="false"/>
            <w:smallCaps w:val="false"/>
            <w:color w:val="0000FF"/>
            <w:sz w:val="20"/>
          </w:rPr>
          <w:t>December 19, 2025</w:t>
        </w:r>
      </w:hyperlink>
      <w:r>
        <w:rPr>
          <w:rFonts w:ascii="Times New Roman;Times;Serif" w:hAnsi="Times New Roman;Times;Serif"/>
          <w:b w:val="false"/>
          <w:i w:val="false"/>
          <w:caps w:val="false"/>
          <w:smallCaps w:val="false"/>
          <w:sz w:val="20"/>
        </w:rPr>
        <w:t>, as updated by our subsequent annual, quarterly and other reports and documents that are incorporated herein by reference in their entirety, as well any amendment or updates to our risk factors reflected in subsequent filings with the SEC, including any applicable prospectus supplement, before deciding whether to purchase any of the shares of common stock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above titled “Special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8"/>
      <w:bookmarkEnd w:id="7"/>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or other disposition of the Warrant Shares sold by the selling stockholders pursuant to this prospectus. Upon any exercise of the Warrants for cash, the applicable selling stockholder would pay us the exercise price set forth in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Common Warrant has an exercise price equal to $0.31 per share, and if all 16,129,033 Common Warrants are exercised on a cash basis, we will receive proceeds of approximately $5.0 million. We expect to use any such proceeds primarily for working capital and general corporate purposes. The Common Warrants are exercisable at any time on or after</w:t>
        <w:tab/>
        <w:t>July 16, 2026 and expire on July 16,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Placement Agent Warrant has an exercise price equal to $0.3875 per share, and if all the 1,129,032 Placement Agent Warrants are exercised on a cash basis, we will receive proceeds of approximately $0.4 million. We expect to use any such proceeds primarily for working capital and general corporate purposes. The Placement Agent Warrants are exercisable at any time on or after July 16, 2026 and expire on April 22,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only exercisable for cash, except where there is no effective registration statement registering, or the prospectus contained therein is not available for the issuance of, the Warrant Shares, in which case the Warrants may be exercised on a cashless basis. If any of the Warrants are exercised on a cashless basis, we would not receive any cash payment from the applicable selling stockholder upon any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the out-of-pocket costs, expenses and fees incurred in connection with the registration of Warrant Shares to be sold by the selling stockholders pursuant to this prospectus. Other than registration expenses, the selling stockholders will bear their own broker or similar commissions payable with respect to sales of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9"/>
      <w:bookmarkEnd w:id="8"/>
      <w:r>
        <w:rPr>
          <w:rFonts w:ascii="Times New Roman;Times;Serif" w:hAnsi="Times New Roman;Times;Serif"/>
          <w:b/>
          <w:i w:val="false"/>
          <w:caps/>
          <w:sz w:val="20"/>
        </w:rPr>
        <w:t>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stockholders are those (i) issuable to certain of the selling stockholders upon exercise of the Common Warrants issued in the Offering and (ii) issuable to certain of the selling stockholders upon exercise of the Placement Agent Warrants issued in connection with the Offering. For additional information regarding the issuance of the Warrants, see the section “Prospectus Summary—The Offering” above. We are registering the resale of the Warrant Shares in order to permit the selling stockholders to offer such shares for resale from time to time. Except for the ownership of the Warrants and the relationships with selling stockholders described under “Certain Relationships with Selling Stockholders,” we have not had any material relationship with the selling stockholders within the past three years. No selling stockholder currently holds, nor has any selling stockholder held within the past three years, any position or office with us or any of our predecessors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 beneficial ownership of the shares of common stock by each of the selling stockholders. This information has been obtained from the selling stockholders. The second column lists the number of shares of common stock beneficially owned by each selling stockholder, based on its ownership of Warrants, as of June 22, 2026, assuming exercise of the Warrants held by the selling stockholders on that date, without regard to any limitations on exercise, unless otherwise indicated. The Warrants are exercisable only for cash, except in limited circumstances. The percentage of shares owned prior to and after the offering in the third and sixth columns are based on 186,996,998 shares of common stock outstanding as of June 22, 2026. The fourth column assumes the sale of all of the shares offered by the selling stockholders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Purchase Agreement, this prospectus generally covers the resale of the maximum number of shares of common stock issuable upon exercise of the Warrants. This maximum amount is determined as if the outstanding Warrants were exercised in full as of the trading day immediately preceding the date this registration statement was initially filed with the SEC, subject to adjustment as provided in the Purchase Agreement and without regard to any limitations on the exercise of the warrants. Under the terms of the Warrants, a selling stockholder may not exercise the Warrants to the extent such exercise would cause such selling stockholder, together with its affiliates and attribution parties, to beneficially own a number of shares of common stock which would exceed 4.99% or 9.99%, as applicable to each holder, of the number of shares of our common stock outstanding following such exercise (for purposes of the denominator, immediately after giving effect to the issuance of shares of common stock to be issued upon the applicable exercise of such Warrant). The number of shares in the second and fifth columns do not reflect this limitation, unless otherwise indicated below. The selling stockholders may sell all, some or none of their shares in this offering. See the section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82"/>
        <w:gridCol w:w="60"/>
        <w:gridCol w:w="61"/>
        <w:gridCol w:w="979"/>
        <w:gridCol w:w="60"/>
        <w:gridCol w:w="206"/>
        <w:gridCol w:w="949"/>
        <w:gridCol w:w="185"/>
        <w:gridCol w:w="60"/>
        <w:gridCol w:w="60"/>
        <w:gridCol w:w="845"/>
        <w:gridCol w:w="60"/>
        <w:gridCol w:w="68"/>
        <w:gridCol w:w="972"/>
        <w:gridCol w:w="60"/>
        <w:gridCol w:w="206"/>
        <w:gridCol w:w="949"/>
        <w:gridCol w:w="243"/>
      </w:tblGrid>
      <w:tr>
        <w:trPr/>
        <w:tc>
          <w:tcPr>
            <w:tcW w:w="4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255"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Before Offering</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20" w:type="dxa"/>
            <w:gridSpan w:val="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 Offering</w:t>
            </w:r>
          </w:p>
        </w:tc>
        <w:tc>
          <w:tcPr>
            <w:tcW w:w="243" w:type="dxa"/>
            <w:tcBorders/>
            <w:vAlign w:val="center"/>
          </w:tcPr>
          <w:p>
            <w:pPr>
              <w:pStyle w:val="TableContents"/>
              <w:bidi w:val="0"/>
              <w:spacing w:before="0" w:after="283"/>
              <w:jc w:val="center"/>
              <w:rPr/>
            </w:pPr>
            <w:r>
              <w:rPr/>
              <w:t> </w:t>
            </w:r>
          </w:p>
        </w:tc>
      </w:tr>
      <w:tr>
        <w:trPr/>
        <w:tc>
          <w:tcPr>
            <w:tcW w:w="418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br/>
              <w:t>of Shares</w:t>
              <w:br/>
              <w:t>Beneficially</w:t>
              <w:br/>
              <w:t>Owned</w:t>
            </w:r>
          </w:p>
        </w:tc>
        <w:tc>
          <w:tcPr>
            <w:tcW w:w="60" w:type="dxa"/>
            <w:tcBorders/>
            <w:vAlign w:val="center"/>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br/>
              <w:t>Shares</w:t>
              <w:br/>
              <w:t>Beneficially</w:t>
              <w:br/>
              <w:t>Owned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br/>
              <w:t>Number</w:t>
              <w:br/>
              <w:t>of Shares</w:t>
              <w:br/>
              <w:t>Offered</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br/>
              <w:t>of Shares</w:t>
              <w:br/>
              <w:t>Beneficially</w:t>
              <w:br/>
              <w:t>Owned</w:t>
            </w:r>
          </w:p>
        </w:tc>
        <w:tc>
          <w:tcPr>
            <w:tcW w:w="60" w:type="dxa"/>
            <w:tcBorders/>
            <w:vAlign w:val="center"/>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br/>
              <w:t>Shares</w:t>
              <w:br/>
              <w:t>Beneficially</w:t>
              <w:br/>
              <w:t>Owned</w:t>
            </w:r>
          </w:p>
        </w:tc>
        <w:tc>
          <w:tcPr>
            <w:tcW w:w="243" w:type="dxa"/>
            <w:tcBorders/>
            <w:vAlign w:val="center"/>
          </w:tcPr>
          <w:p>
            <w:pPr>
              <w:pStyle w:val="TableContents"/>
              <w:bidi w:val="0"/>
              <w:spacing w:before="0" w:after="283"/>
              <w:jc w:val="left"/>
              <w:rPr/>
            </w:pPr>
            <w:r>
              <w:rPr/>
              <w:t> </w:t>
            </w:r>
          </w:p>
        </w:tc>
      </w:tr>
      <w:tr>
        <w:trPr/>
        <w:tc>
          <w:tcPr>
            <w:tcW w:w="418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Armistice Capital, LLC </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510 Madison Avenue, 7th Floor, New York, NY 10022</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12,392,274</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c>
          <w:tcPr>
            <w:tcW w:w="1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9,677,420</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2,714,854</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Intracoastal Capital LLC </w:t>
            </w:r>
            <w:r>
              <w:rPr>
                <w:rFonts w:ascii="Times New Roman;Times;Serif" w:hAnsi="Times New Roman;Times;Serif"/>
                <w:position w:val="7"/>
                <w:sz w:val="16"/>
                <w:sz w:val="20"/>
              </w:rPr>
              <w:t>(2)</w:t>
            </w:r>
            <w:r>
              <w:rPr>
                <w:rFonts w:ascii="Times New Roman;Times;Serif" w:hAnsi="Times New Roman;Times;Serif"/>
                <w:i/>
                <w:sz w:val="20"/>
              </w:rPr>
              <w:br/>
              <w:t>2211 A Lakeside Dr., Bannockburn, IL 60015</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7,826,613</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6,451,613</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1,375,000</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3" w:type="dxa"/>
            <w:tcBorders/>
            <w:shd w:fill="FFFFFF" w:val="clear"/>
            <w:vAlign w:val="center"/>
          </w:tcPr>
          <w:p>
            <w:pPr>
              <w:pStyle w:val="TableContents"/>
              <w:bidi w:val="0"/>
              <w:spacing w:before="0" w:after="283"/>
              <w:jc w:val="left"/>
              <w:rPr/>
            </w:pPr>
            <w:r>
              <w:rPr/>
              <w:t> </w:t>
            </w:r>
          </w:p>
        </w:tc>
      </w:tr>
      <w:tr>
        <w:trPr/>
        <w:tc>
          <w:tcPr>
            <w:tcW w:w="418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Augustus Trading LLC </w:t>
            </w:r>
            <w:r>
              <w:rPr>
                <w:rFonts w:ascii="Times New Roman;Times;Serif" w:hAnsi="Times New Roman;Times;Serif"/>
                <w:b w:val="false"/>
                <w:i w:val="false"/>
                <w:caps w:val="false"/>
                <w:smallCaps w:val="false"/>
                <w:position w:val="7"/>
                <w:sz w:val="16"/>
                <w:sz w:val="20"/>
              </w:rPr>
              <w:t>(3)</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600 Lexington Avenue, 32nd floor, New York, NY 10022</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1,621,742</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723,992</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897,750</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3" w:type="dxa"/>
            <w:tcBorders/>
            <w:shd w:fill="CCEEFF" w:val="clear"/>
            <w:vAlign w:val="center"/>
          </w:tcPr>
          <w:p>
            <w:pPr>
              <w:pStyle w:val="TableContents"/>
              <w:bidi w:val="0"/>
              <w:spacing w:before="0" w:after="283"/>
              <w:jc w:val="left"/>
              <w:rPr/>
            </w:pPr>
            <w:r>
              <w:rPr/>
              <w:t> </w:t>
            </w:r>
          </w:p>
        </w:tc>
      </w:tr>
      <w:tr>
        <w:trPr/>
        <w:tc>
          <w:tcPr>
            <w:tcW w:w="4182"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Noam Rubinstein </w:t>
            </w:r>
            <w:r>
              <w:rPr>
                <w:rFonts w:ascii="Times New Roman;Times;Serif" w:hAnsi="Times New Roman;Times;Serif"/>
                <w:b w:val="false"/>
                <w:i w:val="false"/>
                <w:caps w:val="false"/>
                <w:smallCaps w:val="false"/>
                <w:position w:val="7"/>
                <w:sz w:val="16"/>
                <w:sz w:val="20"/>
              </w:rPr>
              <w:t>(4)</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430 Park Ave, 3rd Floor, New York, NY 10022</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796,645</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355,645</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441,000</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3" w:type="dxa"/>
            <w:tcBorders/>
            <w:shd w:fill="FFFFFF" w:val="clear"/>
            <w:vAlign w:val="center"/>
          </w:tcPr>
          <w:p>
            <w:pPr>
              <w:pStyle w:val="TableContents"/>
              <w:bidi w:val="0"/>
              <w:spacing w:before="0" w:after="283"/>
              <w:jc w:val="left"/>
              <w:rPr/>
            </w:pPr>
            <w:r>
              <w:rPr/>
              <w:t> </w:t>
            </w:r>
          </w:p>
        </w:tc>
      </w:tr>
      <w:tr>
        <w:trPr/>
        <w:tc>
          <w:tcPr>
            <w:tcW w:w="418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Wilson Drive Holdings LLC </w:t>
            </w:r>
            <w:r>
              <w:rPr>
                <w:rFonts w:ascii="Times New Roman;Times;Serif" w:hAnsi="Times New Roman;Times;Serif"/>
                <w:b w:val="false"/>
                <w:i w:val="false"/>
                <w:caps w:val="false"/>
                <w:smallCaps w:val="false"/>
                <w:position w:val="7"/>
                <w:sz w:val="16"/>
                <w:sz w:val="20"/>
              </w:rPr>
              <w:t>(5)</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600 Lexington Avenue, 32nd Floor, New York, NY 10022</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85,355</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38,105</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47,250</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3" w:type="dxa"/>
            <w:tcBorders/>
            <w:shd w:fill="CCEEFF" w:val="clear"/>
            <w:vAlign w:val="center"/>
          </w:tcPr>
          <w:p>
            <w:pPr>
              <w:pStyle w:val="TableContents"/>
              <w:bidi w:val="0"/>
              <w:spacing w:before="0" w:after="283"/>
              <w:jc w:val="left"/>
              <w:rPr/>
            </w:pPr>
            <w:r>
              <w:rPr/>
              <w:t> </w:t>
            </w:r>
          </w:p>
        </w:tc>
      </w:tr>
      <w:tr>
        <w:trPr/>
        <w:tc>
          <w:tcPr>
            <w:tcW w:w="4182"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Charles Worthman </w:t>
            </w:r>
            <w:r>
              <w:rPr>
                <w:rFonts w:ascii="Times New Roman;Times;Serif" w:hAnsi="Times New Roman;Times;Serif"/>
                <w:b w:val="false"/>
                <w:i w:val="false"/>
                <w:caps w:val="false"/>
                <w:smallCaps w:val="false"/>
                <w:position w:val="7"/>
                <w:sz w:val="16"/>
                <w:sz w:val="20"/>
              </w:rPr>
              <w:t>(6)</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430 Park Ave, 3rd Floor, New York, NY 10022</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25,290</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11,290</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14,000</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55"/>
        <w:gridCol w:w="9882"/>
      </w:tblGrid>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w:t>
            </w:r>
          </w:p>
        </w:tc>
        <w:tc>
          <w:tcPr>
            <w:tcW w:w="9882" w:type="dxa"/>
            <w:tcBorders/>
            <w:vAlign w:val="center"/>
          </w:tcPr>
          <w:p>
            <w:pPr>
              <w:pStyle w:val="TableContents"/>
              <w:bidi w:val="0"/>
              <w:spacing w:before="0" w:after="283"/>
              <w:jc w:val="both"/>
              <w:rPr/>
            </w:pPr>
            <w:r>
              <w:rPr/>
              <w:t>Represents beneficial ownership of less than one percent.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283"/>
              <w:jc w:val="both"/>
              <w:rPr/>
            </w:pPr>
            <w:r>
              <w:rPr/>
              <w:t>Consists of 12,392,274 shares of common stock held by Armistice Capital Master Fund Ltd. a Cayman Islands exempted company, or the Master Fund, of which (a) 572,000 are shares of common stock held prior to the Offering, (b) 2,142,854 are shares of common stock issuable upon exercise of warrants held prior to the Offering and (b) 9,677,420 are shares of common stock issuable upon exercise of Common Warrants issued in connection with the Offering. The securities are directly held by the Master Fund and may be deemed to be beneficially owned by: (i) Armistice Capital, LLC, or Armistice Capital, as the investment manager of the Master Fund; and (ii) Steven Boyd, as the Managing Member of Armistice Capital. The warrants held by Master Fund are subject to a beneficial ownership limitation of 4.99%, which such limitation restricts the Master Fund from exercising that portion of the warrants that would result in the the Master Fund and its affiliates owning, after exercise, a number of shares of common stock in excess of the beneficial ownership limitation. The address of Armistice Capital Master Fund Ltd. is c/o Armistice Capital, LLC, 510 Madison Avenue, 7th Floor, New York, NY 10022.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283"/>
              <w:jc w:val="both"/>
              <w:rPr/>
            </w:pPr>
            <w:r>
              <w:rPr/>
              <w:t>Consists of 7,826,613 shares of common stock held by Intracoastal Capital LLC, or Intracoastal, of which (a) 1,375,000 are shares of common stock issuable upon exercise of warrants held prior to the Offering and (b) 6,451,613 are shares of common stock issuable upon exercise of Common Warrants issued in connection with the Offering. Mitchell P. Kopin and Daniel B. Asher, each of whom are managers of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283"/>
              <w:jc w:val="both"/>
              <w:rPr/>
            </w:pPr>
            <w:r>
              <w:rPr/>
              <w:t>Consists of 1,621,742 shares of common stock held by Augustus Trading LLC, of which (a) 897,750 are shares of common stock issuable upon exercise of warrants held prior to the Offering and (b) 723,992 are shares of common stock issuable upon exercise of Placement Agent Warrants issued in connection with the Offering. Orsium Capital LLC, the authorized agent to Augustus Trading LLC, has discretionary authority to vote and dispose of the securities held by Augustus Trading LLC and may be deemed to be the beneficial owner (as determined under Section 13(d) of the Exchange Act) of these securities. Olivier Morali, in his capacity as managing member of Orsium Capital LLC, may also be deemed to have investment discretion and voting power over the shares held by Augustus Trading LLC. Orsium Capital LLC and Mr. Morali each disclaims any beneficial ownership of these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283"/>
              <w:jc w:val="both"/>
              <w:rPr/>
            </w:pPr>
            <w:r>
              <w:rPr/>
              <w:t>Consists of 796,645 shares of common stock held by Noam Rubinstein of which (a) 441,000 are shares of common stock issuable upon exercise of warrants held prior to the Offering and (b) 355,645 are shares of common stock issuable upon exercise of Placement Agent Warrants issued in connection with the Offering. Mr. Rubinstein is affiliated with Wainwright, a registered broker-dealer. Mr. Rubinstein has the voting and dispositive power over the securities held, acquired the securities in the ordinary course of business and, at the time the securities were acquired, Mr. Rubinstein had no agreement or understanding, directly or indirectly, with any person to distribute such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(5)</w:t>
            </w:r>
          </w:p>
        </w:tc>
        <w:tc>
          <w:tcPr>
            <w:tcW w:w="9947" w:type="dxa"/>
            <w:tcBorders/>
            <w:vAlign w:val="center"/>
          </w:tcPr>
          <w:p>
            <w:pPr>
              <w:pStyle w:val="TableContents"/>
              <w:bidi w:val="0"/>
              <w:spacing w:before="0" w:after="283"/>
              <w:jc w:val="both"/>
              <w:rPr/>
            </w:pPr>
            <w:r>
              <w:rPr/>
              <w:t>Consists of 85,355 shares of common stock held by Wilson Drive Holdings LLC, of which (a) 47,250 are shares of common stock issuable upon exercise of warrants held prior to the Offering and (b) 38,105 are shares of common stock issuable upon exercise of Placement Agent Warrants issued in connection with the Offering. Craig Schwabe is the managing member Wilson Drive Holdings LLC and has the power to vote and dispose the securities held. Neither Wilson Drive Holdings LLC nor Mr. Schwabe is a broker-dealer. Mr. Schwabe is affiliated with the following registered broker-dealers: Wainwright, Rodman &amp; Renshaw LLC and Stockblock Securities LLC. The securities were acquired in the ordinary course of business and, at the time the securities were acquired, the selling stockholder had no agreement or understanding, directly or indirectly, with any person to distribute such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(6)</w:t>
            </w:r>
          </w:p>
        </w:tc>
        <w:tc>
          <w:tcPr>
            <w:tcW w:w="9942" w:type="dxa"/>
            <w:tcBorders/>
            <w:vAlign w:val="center"/>
          </w:tcPr>
          <w:p>
            <w:pPr>
              <w:pStyle w:val="TableContents"/>
              <w:bidi w:val="0"/>
              <w:spacing w:before="0" w:after="283"/>
              <w:jc w:val="both"/>
              <w:rPr/>
            </w:pPr>
            <w:r>
              <w:rPr/>
              <w:t>Consists of 25,290 shares of common stock held by Charles Worthman of which (a) 14,000 are shares of common stock issuable upon exercise of warrants held prior to the Offering and (b) 11,290 are shares of common stock issuable upon exercise of Placement Agent Warrants issued in connection with the Offering. Mr. Worthman has the voting and dispositive power over the securities held, acquired the securities in the ordinary course of business and, at the time the securities were acquired, Mr. Worthman had no agreement or understanding, directly or indirectly, with any person to distribute such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with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Armistice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2025, we entered into a warrant exercise inducement offer letter agreement, or the Inducement Letter, with Armistice Capital, LLC, or Armistice, a selling stockholder, pursuant to which Armistice agreed to exercise in a warrant inducement transaction, existing warrants to purchase 1,071,427 shares of common stock at a reduced exercise price of $2.51 per share in exchange for our agreement to issue inducement warrants to purchase 2,142,854 shares of common stock at an exercise price of $2.26 per share. We filed two registration statements on Form S-3 (File No. 333-285973 and File No. 333-285438) to register the resale of the common stock underlying the inducement warrants. On April 22, 2026, we entered into a warrant amendment with Armistice, pursuant to which we agreed to amend the inducement warrants to purchase 2,142,854 shares of common stock previously issued in January 2025 to reduce the exercise price of such warrants to $0.31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January 22, 2024, we entered into a securities purchase agreement with certain institutional and accredited investors named therein, including Armistice, pursuant to which we issued Armistice, in a private placement, 1,785,712 shares of common stock for a purchase price of $5,000,000. We filed a registration statement on Form S-3 (File No. 333-278209) to register the resale of the shares issued to Armistice in January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Intracoastal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we entered into a securities purchase agreement with Intracoastal Capital LLC, a selling stockholder, pursuant to which we issued, in a best-efforts public offering, 2,000,000 shares of common stock and accompanying warrants to purchase up to 2,000,000 shares of common stock for an aggregate purchase price of $500,000. The warrants have an exercise price of $0.25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Wainwright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Wainwright has served as our exclusive placement agent and received the compensation described in the section entitled “Prospectus Summary—The Offering.” The Placement Agent Warrants were issued to Wainwright (or its designees) in connection with the Offering. From time to time, Wainwright may provide in the future advisory, investment and commercial banking and other services to us in the ordinary course of business, for which they have received and may continue to receive customary fees and commissions. Wainwright has acted as placement agent in a number of our past offerings and also serves as the sales agent under our sales agreement dated May 13, 2026, or the Sales Agreement, relating to the issuance and sale of shares of our common stock, for which it has received and may in the future receive, compensation. In accordance with the terms of the Sales Agreement, we may offer and sell shares of common stock having an aggregate offering price of up to $100,000,000 from time to time through or to Wainwright as our agent or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10"/>
      <w:bookmarkEnd w:id="9"/>
      <w:r>
        <w:rPr>
          <w:rFonts w:ascii="Times New Roman;Times;Serif" w:hAnsi="Times New Roman;Times;Serif"/>
          <w:b/>
          <w:i w:val="false"/>
          <w:caps/>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of the Warrant Shares and any of their pledgees, assignees and successors-in-interest may, from time to time, sell any or all of their respective Warrant Shares covered hereby on The Nasdaq Capital Market or any other stock exchange, market or trading facility on which shares of the Company’s common stock are traded or in private transactions. These sales may be at fixed or negotiated prices. A selling stockholder may use any one or more of the following methods when selling the Warrant Shares: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will attempt to sell the Warrant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388"/>
        <w:gridCol w:w="9700"/>
      </w:tblGrid>
      <w:tr>
        <w:trPr/>
        <w:tc>
          <w:tcPr>
            <w:tcW w:w="11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Symbol" w:hAnsi="Symbol"/>
              </w:rPr>
            </w:pPr>
            <w:r>
              <w:rPr>
                <w:rFonts w:ascii="Symbol" w:hAnsi="Symbol"/>
              </w:rPr>
              <w:t>·</w:t>
            </w:r>
          </w:p>
        </w:tc>
        <w:tc>
          <w:tcPr>
            <w:tcW w:w="9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transactions through broker-dealers that agree with the selling stockholders to sell a specified number of such Warrant Shares at a stipulated price per security;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or other hedging transactions, whether through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281"/>
        <w:gridCol w:w="9839"/>
      </w:tblGrid>
      <w:tr>
        <w:trPr/>
        <w:tc>
          <w:tcPr>
            <w:tcW w:w="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Symbol" w:hAnsi="Symbol"/>
              </w:rPr>
            </w:pPr>
            <w:r>
              <w:rPr>
                <w:rFonts w:ascii="Symbol" w:hAnsi="Symbol"/>
              </w:rPr>
              <w:t>·</w:t>
            </w:r>
          </w:p>
        </w:tc>
        <w:tc>
          <w:tcPr>
            <w:tcW w:w="98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combination of any such methods of sale;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stockholder may also sell Warrant Shares under Rule 144 or any other exemption from registration under the Securities Act, if available, rather than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a selling stockholder may arrange for other brokers-dealers to participate in sales. Broker-dealers may receive commissions or discounts from a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stockholder may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stockholder and any broker-dealers or agents that are involved in selling the Warrant Shares may be deemed to be “underwriters” within the meaning of the Securities Act in connection with such sales. In such event, any commissions received by such broker-dealers or agents and any profit on the resale of the Warrant Shares purchased by them may be deemed to be underwriting commissions or discounts under the Securities Act. Each selling stockholder has informed us that it does not have any written or oral agreement or understanding, directly or indirectly, with any person to distribute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Warrant Shares. We have agreed to indemnify any selling stockholder against certain losses, claims, damages and liabilities, including liabilities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use commercially reasonable efforts to keep this prospectus effective at all times until the earlier of (i) the date on which the Warrant Shares may be resold without registration and without regard to any volume or manner-of-sale limitations by reason of Rule 144 under the Securities Act, without the requirement for us to be in compliance with the current public information under Rule 144 under the Securities Act or any other rule of similar effect or (ii) all of the Warrant Shares have been sold pursuant to this prospectus or Rule 144 under the Securities Act or any other rule of similar effect. The Warrant Shares will be sold only through registered or licensed brokers or dealers if required under applicable state securities laws. In addition, in certain states, the Warrant Shares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Warrant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a selling stockholder or any other person. We will make copies of this prospectus available to a selling stockholder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11"/>
      <w:bookmarkEnd w:id="10"/>
      <w:r>
        <w:rPr>
          <w:rFonts w:ascii="Times New Roman;Times;Serif" w:hAnsi="Times New Roman;Times;Serif"/>
          <w:b/>
          <w:i w:val="false"/>
          <w:caps/>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Outlook Therapeutics, Inc. as of September 30, 2025 and 2024, and for each of the years in the two-year period ended September 30, 2025, have been incorporated by reference herein in reliance upon the report of KPMG LLP, independent registered public accounting firm, incorporated by reference herein, and upon the authority of said firm as experts in accounting and auditing. The audit report covering the September 30, 2025 consolidated financial statements contains an explanatory paragraph that states that the Company has incurred recurring losses and negative cash flows from operations and has an accumulated deficit, that raise substantial doubt about its ability to continue as a going concern. The consolidated financial statements do not include any adjustments that might result from the outcome of that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2"/>
      <w:bookmarkEnd w:id="11"/>
      <w:r>
        <w:rPr>
          <w:rFonts w:ascii="Times New Roman;Times;Serif" w:hAnsi="Times New Roman;Times;Serif"/>
          <w:b/>
          <w:i w:val="false"/>
          <w:caps/>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including the validity of the shares of common stock offered pursuant to this registration statement, will be passed upon for us by Cooley LLP, Chicago, Illinois.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3"/>
      <w:bookmarkEnd w:id="12"/>
      <w:r>
        <w:rPr>
          <w:rFonts w:ascii="Times New Roman;Times;Serif" w:hAnsi="Times New Roman;Times;Serif"/>
          <w:b/>
          <w:i w:val="false"/>
          <w:caps/>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filed with the SEC. This prospectus does not contain all of the information set forth in the registration statement and the exhibits to the registration statement. For further information with respect to us and the shares of common stock the selling stockholders are offering for resale under this prospectus, we refer you to the registration statement and the exhibits and schedules filed as a part of the registration statement. You should rely only on information contained in this prospectus or incorporated by reference into this prospectus. We have not, and the selling stockholders have not, authorized any person to provide you with different information. We are not, and the selling stockholders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shares of common stock offered by this prospectus. We file annual, quarterly and current reports, proxy statements and other information with the SEC. Our SEC filings are available to the public at the SEC’s website at http://www.sec.gov. We maintain a website at http://www.outlooktherapeutics.com. Information contained in or accessible through our website does not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4"/>
      <w:bookmarkEnd w:id="13"/>
      <w:r>
        <w:rPr>
          <w:rFonts w:ascii="Times New Roman;Times;Serif" w:hAnsi="Times New Roman;Times;Serif"/>
          <w:b/>
          <w:i w:val="false"/>
          <w:caps/>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and documents listed below that we have filed with the SEC (Commission File No. 001-37759):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 xml:space="preserve">our Annual Report on Form 10-K for the fiscal year ended September 30, 2025, filed with the SEC on </w:t>
            </w:r>
            <w:hyperlink r:id="rId8">
              <w:r>
                <w:rPr>
                  <w:rStyle w:val="InternetLink"/>
                  <w:rFonts w:ascii="Times New Roman;Times;Serif" w:hAnsi="Times New Roman;Times;Serif"/>
                </w:rPr>
                <w:t>December 19, 2025</w:t>
              </w:r>
            </w:hyperlink>
            <w:r>
              <w:rPr>
                <w:rFonts w:ascii="Times New Roman;Times;Serif" w:hAnsi="Times New Roman;Times;Serif"/>
              </w:rPr>
              <w:t xml:space="preserve">, or the 2025 Form 10-K, including the information specifically incorporated by reference therein from our Definitive Proxy Statement on Schedule 14A filed with the SEC on </w:t>
            </w:r>
            <w:hyperlink r:id="rId9">
              <w:r>
                <w:rPr>
                  <w:rStyle w:val="InternetLink"/>
                  <w:rFonts w:ascii="Times New Roman;Times;Serif" w:hAnsi="Times New Roman;Times;Serif"/>
                  <w:color w:val="0000FF"/>
                </w:rPr>
                <w:t>January 26, 2026</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 xml:space="preserve">our Quarterly Reports on Form 10-Q for the quarters ended December 31, 2025 and March 31, 2026 filed with the SEC on </w:t>
            </w:r>
            <w:hyperlink r:id="rId10">
              <w:r>
                <w:rPr>
                  <w:rStyle w:val="InternetLink"/>
                  <w:rFonts w:ascii="Times New Roman;Times;Serif" w:hAnsi="Times New Roman;Times;Serif"/>
                  <w:color w:val="000080"/>
                </w:rPr>
                <w:t>February 17, 2026</w:t>
              </w:r>
            </w:hyperlink>
            <w:r>
              <w:rPr>
                <w:rFonts w:ascii="Times New Roman;Times;Serif" w:hAnsi="Times New Roman;Times;Serif"/>
                <w:color w:val="0000FF"/>
              </w:rPr>
              <w:t xml:space="preserve"> </w:t>
            </w:r>
            <w:r>
              <w:rPr>
                <w:rFonts w:ascii="Times New Roman;Times;Serif" w:hAnsi="Times New Roman;Times;Serif"/>
              </w:rPr>
              <w:t xml:space="preserve">and </w:t>
            </w:r>
            <w:hyperlink r:id="rId11">
              <w:r>
                <w:rPr>
                  <w:rStyle w:val="InternetLink"/>
                  <w:rFonts w:ascii="Times New Roman;Times;Serif" w:hAnsi="Times New Roman;Times;Serif"/>
                  <w:color w:val="0000FF"/>
                </w:rPr>
                <w:t>May 15, 2026</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sz w:val="20"/>
              </w:rPr>
              <w:t xml:space="preserve">our Current Reports on Form 8-K, filed with the SEC on </w:t>
            </w:r>
            <w:hyperlink r:id="rId12">
              <w:r>
                <w:rPr>
                  <w:rStyle w:val="InternetLink"/>
                  <w:rFonts w:ascii="Times New Roman;Times;Serif" w:hAnsi="Times New Roman;Times;Serif"/>
                  <w:color w:val="0000FF"/>
                  <w:sz w:val="20"/>
                </w:rPr>
                <w:t>November 3, 2025</w:t>
              </w:r>
            </w:hyperlink>
            <w:r>
              <w:rPr>
                <w:rFonts w:ascii="Times New Roman;Times;Serif" w:hAnsi="Times New Roman;Times;Serif"/>
                <w:color w:val="0000FF"/>
                <w:sz w:val="20"/>
                <w:u w:val="single"/>
              </w:rPr>
              <w:t xml:space="preserve">, </w:t>
            </w:r>
            <w:hyperlink r:id="rId13">
              <w:r>
                <w:rPr>
                  <w:rStyle w:val="InternetLink"/>
                  <w:rFonts w:ascii="Times New Roman;Times;Serif" w:hAnsi="Times New Roman;Times;Serif"/>
                  <w:color w:val="0000FF"/>
                  <w:sz w:val="20"/>
                </w:rPr>
                <w:t>November 13, 2025</w:t>
              </w:r>
            </w:hyperlink>
            <w:r>
              <w:rPr>
                <w:rFonts w:ascii="Times New Roman;Times;Serif" w:hAnsi="Times New Roman;Times;Serif"/>
                <w:color w:val="0000FF"/>
                <w:sz w:val="20"/>
                <w:u w:val="single"/>
              </w:rPr>
              <w:t xml:space="preserve">, </w:t>
            </w:r>
            <w:hyperlink r:id="rId14">
              <w:r>
                <w:rPr>
                  <w:rStyle w:val="InternetLink"/>
                  <w:rFonts w:ascii="Times New Roman;Times;Serif" w:hAnsi="Times New Roman;Times;Serif"/>
                  <w:color w:val="0000FF"/>
                  <w:sz w:val="20"/>
                </w:rPr>
                <w:t>January 2, 2026</w:t>
              </w:r>
            </w:hyperlink>
            <w:r>
              <w:rPr>
                <w:rFonts w:ascii="Times New Roman;Times;Serif" w:hAnsi="Times New Roman;Times;Serif"/>
                <w:color w:val="0000FF"/>
                <w:sz w:val="20"/>
                <w:u w:val="single"/>
              </w:rPr>
              <w:t xml:space="preserve">, </w:t>
            </w:r>
            <w:hyperlink r:id="rId15">
              <w:r>
                <w:rPr>
                  <w:rStyle w:val="InternetLink"/>
                  <w:rFonts w:ascii="Times New Roman;Times;Serif" w:hAnsi="Times New Roman;Times;Serif"/>
                  <w:color w:val="0000FF"/>
                  <w:sz w:val="20"/>
                </w:rPr>
                <w:t>February 11, 2026</w:t>
              </w:r>
            </w:hyperlink>
            <w:r>
              <w:rPr>
                <w:rFonts w:ascii="Times New Roman;Times;Serif" w:hAnsi="Times New Roman;Times;Serif"/>
                <w:color w:val="0000FF"/>
                <w:sz w:val="20"/>
                <w:u w:val="single"/>
              </w:rPr>
              <w:t xml:space="preserve">, </w:t>
            </w:r>
            <w:hyperlink r:id="rId16">
              <w:r>
                <w:rPr>
                  <w:rStyle w:val="InternetLink"/>
                  <w:rFonts w:ascii="Times New Roman;Times;Serif" w:hAnsi="Times New Roman;Times;Serif"/>
                  <w:color w:val="0000FF"/>
                  <w:sz w:val="20"/>
                </w:rPr>
                <w:t>February 18, 2026</w:t>
              </w:r>
            </w:hyperlink>
            <w:r>
              <w:rPr>
                <w:rFonts w:ascii="Times New Roman;Times;Serif" w:hAnsi="Times New Roman;Times;Serif"/>
                <w:color w:val="0000FF"/>
                <w:sz w:val="20"/>
                <w:u w:val="single"/>
              </w:rPr>
              <w:t xml:space="preserve">, </w:t>
            </w:r>
            <w:hyperlink r:id="rId17">
              <w:r>
                <w:rPr>
                  <w:rStyle w:val="InternetLink"/>
                  <w:rFonts w:ascii="Times New Roman;Times;Serif" w:hAnsi="Times New Roman;Times;Serif"/>
                  <w:color w:val="0000FF"/>
                  <w:sz w:val="20"/>
                </w:rPr>
                <w:t>March 5, 2026</w:t>
              </w:r>
            </w:hyperlink>
            <w:r>
              <w:rPr>
                <w:rFonts w:ascii="Times New Roman;Times;Serif" w:hAnsi="Times New Roman;Times;Serif"/>
                <w:color w:val="0000FF"/>
                <w:sz w:val="20"/>
                <w:u w:val="single"/>
              </w:rPr>
              <w:t xml:space="preserve">, </w:t>
            </w:r>
            <w:hyperlink r:id="rId18">
              <w:r>
                <w:rPr>
                  <w:rStyle w:val="InternetLink"/>
                  <w:rFonts w:ascii="Times New Roman;Times;Serif" w:hAnsi="Times New Roman;Times;Serif"/>
                  <w:color w:val="0000FF"/>
                  <w:sz w:val="20"/>
                </w:rPr>
                <w:t>March 10, 2026</w:t>
              </w:r>
            </w:hyperlink>
            <w:r>
              <w:rPr>
                <w:rFonts w:ascii="Times New Roman;Times;Serif" w:hAnsi="Times New Roman;Times;Serif"/>
                <w:color w:val="0000FF"/>
                <w:sz w:val="20"/>
                <w:u w:val="single"/>
              </w:rPr>
              <w:t xml:space="preserve">, </w:t>
            </w:r>
            <w:hyperlink r:id="rId19">
              <w:r>
                <w:rPr>
                  <w:rStyle w:val="InternetLink"/>
                  <w:rFonts w:ascii="Times New Roman;Times;Serif" w:hAnsi="Times New Roman;Times;Serif"/>
                  <w:color w:val="0000FF"/>
                  <w:sz w:val="20"/>
                </w:rPr>
                <w:t>March 11, 2026</w:t>
              </w:r>
            </w:hyperlink>
            <w:r>
              <w:rPr>
                <w:rFonts w:ascii="Times New Roman;Times;Serif" w:hAnsi="Times New Roman;Times;Serif"/>
                <w:color w:val="0000FF"/>
                <w:sz w:val="20"/>
                <w:u w:val="single"/>
              </w:rPr>
              <w:t xml:space="preserve">, </w:t>
            </w:r>
            <w:hyperlink r:id="rId20">
              <w:r>
                <w:rPr>
                  <w:rStyle w:val="InternetLink"/>
                  <w:rFonts w:ascii="Times New Roman;Times;Serif" w:hAnsi="Times New Roman;Times;Serif"/>
                  <w:color w:val="0000FF"/>
                  <w:sz w:val="20"/>
                </w:rPr>
                <w:t>March 16, 2026</w:t>
              </w:r>
            </w:hyperlink>
            <w:r>
              <w:rPr>
                <w:rFonts w:ascii="Times New Roman;Times;Serif" w:hAnsi="Times New Roman;Times;Serif"/>
                <w:color w:val="0000FF"/>
                <w:sz w:val="20"/>
                <w:u w:val="single"/>
              </w:rPr>
              <w:t xml:space="preserve">, </w:t>
            </w:r>
            <w:hyperlink r:id="rId21">
              <w:r>
                <w:rPr>
                  <w:rStyle w:val="InternetLink"/>
                  <w:rFonts w:ascii="Times New Roman;Times;Serif" w:hAnsi="Times New Roman;Times;Serif"/>
                  <w:color w:val="0000FF"/>
                  <w:sz w:val="20"/>
                </w:rPr>
                <w:t>March 25, 2026</w:t>
              </w:r>
            </w:hyperlink>
            <w:r>
              <w:rPr>
                <w:rFonts w:ascii="Times New Roman;Times;Serif" w:hAnsi="Times New Roman;Times;Serif"/>
                <w:color w:val="0000FF"/>
                <w:sz w:val="20"/>
                <w:u w:val="single"/>
              </w:rPr>
              <w:t xml:space="preserve">, </w:t>
            </w:r>
            <w:hyperlink r:id="rId22">
              <w:r>
                <w:rPr>
                  <w:rStyle w:val="InternetLink"/>
                  <w:rFonts w:ascii="Times New Roman;Times;Serif" w:hAnsi="Times New Roman;Times;Serif"/>
                  <w:color w:val="0000FF"/>
                  <w:sz w:val="20"/>
                </w:rPr>
                <w:t>April 7, 2026</w:t>
              </w:r>
            </w:hyperlink>
            <w:r>
              <w:rPr>
                <w:rFonts w:ascii="Times New Roman;Times;Serif" w:hAnsi="Times New Roman;Times;Serif"/>
                <w:color w:val="0000FF"/>
                <w:sz w:val="20"/>
                <w:u w:val="single"/>
              </w:rPr>
              <w:t xml:space="preserve">, </w:t>
            </w:r>
            <w:hyperlink r:id="rId23">
              <w:r>
                <w:rPr>
                  <w:rStyle w:val="InternetLink"/>
                  <w:rFonts w:ascii="Times New Roman;Times;Serif" w:hAnsi="Times New Roman;Times;Serif"/>
                  <w:color w:val="0000FF"/>
                  <w:sz w:val="20"/>
                </w:rPr>
                <w:t>April 21, 2026</w:t>
              </w:r>
            </w:hyperlink>
            <w:r>
              <w:rPr>
                <w:rFonts w:ascii="Times New Roman;Times;Serif" w:hAnsi="Times New Roman;Times;Serif"/>
                <w:color w:val="0000FF"/>
                <w:sz w:val="20"/>
                <w:u w:val="single"/>
              </w:rPr>
              <w:t xml:space="preserve">, </w:t>
            </w:r>
            <w:hyperlink r:id="rId24">
              <w:r>
                <w:rPr>
                  <w:rStyle w:val="InternetLink"/>
                  <w:rFonts w:ascii="Times New Roman;Times;Serif" w:hAnsi="Times New Roman;Times;Serif"/>
                  <w:color w:val="0000FF"/>
                  <w:sz w:val="20"/>
                </w:rPr>
                <w:t>April 23, 2026,</w:t>
              </w:r>
            </w:hyperlink>
            <w:r>
              <w:rPr/>
              <w:t xml:space="preserve"> </w:t>
            </w:r>
            <w:hyperlink r:id="rId25">
              <w:r>
                <w:rPr>
                  <w:rStyle w:val="InternetLink"/>
                  <w:rFonts w:ascii="Times New Roman;Times;Serif" w:hAnsi="Times New Roman;Times;Serif"/>
                  <w:color w:val="0000FF"/>
                  <w:sz w:val="20"/>
                </w:rPr>
                <w:t>May 13, 2026</w:t>
              </w:r>
            </w:hyperlink>
            <w:r>
              <w:rPr>
                <w:rFonts w:ascii="Times New Roman;Times;Serif" w:hAnsi="Times New Roman;Times;Serif"/>
                <w:color w:val="0000FF"/>
                <w:sz w:val="20"/>
                <w:u w:val="single"/>
              </w:rPr>
              <w:t xml:space="preserve">, </w:t>
            </w:r>
            <w:hyperlink r:id="rId26">
              <w:r>
                <w:rPr>
                  <w:rStyle w:val="InternetLink"/>
                  <w:rFonts w:ascii="Times New Roman;Times;Serif" w:hAnsi="Times New Roman;Times;Serif"/>
                  <w:color w:val="0000FF"/>
                  <w:sz w:val="20"/>
                </w:rPr>
                <w:t>May 26, 2026</w:t>
              </w:r>
            </w:hyperlink>
            <w:r>
              <w:rPr>
                <w:rFonts w:ascii="Times New Roman;Times;Serif" w:hAnsi="Times New Roman;Times;Serif"/>
                <w:color w:val="0000FF"/>
                <w:sz w:val="20"/>
                <w:u w:val="single"/>
              </w:rPr>
              <w:t xml:space="preserve">, </w:t>
            </w:r>
            <w:hyperlink r:id="rId27">
              <w:r>
                <w:rPr>
                  <w:rStyle w:val="InternetLink"/>
                  <w:rFonts w:ascii="Times New Roman;Times;Serif" w:hAnsi="Times New Roman;Times;Serif"/>
                  <w:color w:val="0000FF"/>
                  <w:sz w:val="20"/>
                </w:rPr>
                <w:t>May 28, 2026</w:t>
              </w:r>
            </w:hyperlink>
            <w:r>
              <w:rPr>
                <w:rFonts w:ascii="Times New Roman;Times;Serif" w:hAnsi="Times New Roman;Times;Serif"/>
                <w:color w:val="0000FF"/>
                <w:sz w:val="20"/>
                <w:u w:val="single"/>
              </w:rPr>
              <w:t xml:space="preserve">, </w:t>
            </w:r>
            <w:hyperlink r:id="rId28">
              <w:r>
                <w:rPr>
                  <w:rStyle w:val="InternetLink"/>
                  <w:rFonts w:ascii="Times New Roman;Times;Serif" w:hAnsi="Times New Roman;Times;Serif"/>
                  <w:color w:val="0000FF"/>
                  <w:sz w:val="20"/>
                </w:rPr>
                <w:t>May 29, 2026</w:t>
              </w:r>
            </w:hyperlink>
            <w:r>
              <w:rPr>
                <w:rFonts w:ascii="Times New Roman;Times;Serif" w:hAnsi="Times New Roman;Times;Serif"/>
                <w:color w:val="0000FF"/>
                <w:sz w:val="20"/>
                <w:u w:val="single"/>
              </w:rPr>
              <w:t xml:space="preserve">, </w:t>
            </w:r>
            <w:hyperlink r:id="rId29">
              <w:r>
                <w:rPr>
                  <w:rStyle w:val="InternetLink"/>
                  <w:rFonts w:ascii="Times New Roman;Times;Serif" w:hAnsi="Times New Roman;Times;Serif"/>
                  <w:color w:val="0000FF"/>
                  <w:sz w:val="20"/>
                </w:rPr>
                <w:t>June 1, 2026</w:t>
              </w:r>
            </w:hyperlink>
            <w:r>
              <w:rPr>
                <w:rFonts w:ascii="Times New Roman;Times;Serif" w:hAnsi="Times New Roman;Times;Serif"/>
                <w:sz w:val="20"/>
              </w:rPr>
              <w:t xml:space="preserve">, </w:t>
            </w:r>
            <w:hyperlink r:id="rId30">
              <w:r>
                <w:rPr>
                  <w:rStyle w:val="InternetLink"/>
                  <w:rFonts w:ascii="Times New Roman;Times;Serif" w:hAnsi="Times New Roman;Times;Serif"/>
                  <w:color w:val="0000FF"/>
                  <w:sz w:val="20"/>
                </w:rPr>
                <w:t>June 16, 2026</w:t>
              </w:r>
            </w:hyperlink>
            <w:r>
              <w:rPr>
                <w:rFonts w:ascii="Times New Roman;Times;Serif" w:hAnsi="Times New Roman;Times;Serif"/>
                <w:sz w:val="20"/>
              </w:rPr>
              <w:t xml:space="preserve">, </w:t>
            </w:r>
            <w:hyperlink r:id="rId31">
              <w:r>
                <w:rPr>
                  <w:rStyle w:val="InternetLink"/>
                  <w:rFonts w:ascii="Times New Roman;Times;Serif" w:hAnsi="Times New Roman;Times;Serif"/>
                  <w:color w:val="0000FF"/>
                  <w:sz w:val="20"/>
                </w:rPr>
                <w:t>June 26, 2026</w:t>
              </w:r>
            </w:hyperlink>
            <w:r>
              <w:rPr>
                <w:rFonts w:ascii="Times New Roman;Times;Serif" w:hAnsi="Times New Roman;Times;Serif"/>
                <w:sz w:val="20"/>
              </w:rPr>
              <w:t xml:space="preserve">, and </w:t>
            </w:r>
            <w:hyperlink r:id="rId32">
              <w:r>
                <w:rPr>
                  <w:rStyle w:val="InternetLink"/>
                  <w:rFonts w:ascii="Times New Roman;Times;Serif" w:hAnsi="Times New Roman;Times;Serif"/>
                  <w:sz w:val="20"/>
                </w:rPr>
                <w:t>July 16, 2026</w:t>
              </w:r>
            </w:hyperlink>
            <w:r>
              <w:rPr>
                <w:rFonts w:ascii="Times New Roman;Times;Serif" w:hAnsi="Times New Roman;Times;Serif"/>
                <w:sz w:val="20"/>
              </w:rPr>
              <w:t xml:space="preserve"> to the extent the information in such reports is filed and not furnished;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 xml:space="preserve">the description of our common stock set forth in our registration statement on Form 8-A, filed with the SEC on </w:t>
            </w:r>
            <w:hyperlink r:id="rId33">
              <w:r>
                <w:rPr>
                  <w:rStyle w:val="InternetLink"/>
                  <w:rFonts w:ascii="Times New Roman;Times;Serif" w:hAnsi="Times New Roman;Times;Serif"/>
                </w:rPr>
                <w:t>April 29, 2016</w:t>
              </w:r>
            </w:hyperlink>
            <w:r>
              <w:rPr>
                <w:rFonts w:ascii="Times New Roman;Times;Serif" w:hAnsi="Times New Roman;Times;Serif"/>
              </w:rPr>
              <w:t xml:space="preserve">, as amended on </w:t>
            </w:r>
            <w:hyperlink r:id="rId34">
              <w:r>
                <w:rPr>
                  <w:rStyle w:val="InternetLink"/>
                  <w:rFonts w:ascii="Times New Roman;Times;Serif" w:hAnsi="Times New Roman;Times;Serif"/>
                </w:rPr>
                <w:t>May 11, 2016</w:t>
              </w:r>
            </w:hyperlink>
            <w:r>
              <w:rPr>
                <w:rFonts w:ascii="Times New Roman;Times;Serif" w:hAnsi="Times New Roman;Times;Serif"/>
              </w:rPr>
              <w:t xml:space="preserve">, including any further amendments thereto or reports filed for the purposes of updating this description, including </w:t>
            </w:r>
            <w:hyperlink r:id="rId35">
              <w:r>
                <w:rPr>
                  <w:rStyle w:val="InternetLink"/>
                  <w:rFonts w:ascii="Times New Roman;Times;Serif" w:hAnsi="Times New Roman;Times;Serif"/>
                  <w:color w:val="0000FF"/>
                </w:rPr>
                <w:t>Exhibit 4.1 of the 2025 Form 10-K</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 after the date of the filing of the registration statement of which this prospectus is a part and prior to effectiveness of the registration statement and (ii) after the effectiveness of the registration statement of which this prospectus is a part but prior to the termination of all offerings of securities covered by this prospectus (Commission File No. 001-37759).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 Outlook Therapeutics, Inc., Attention: Corporate Secretary, 111 S. Wood Avenue, Unit #100, Iselin, New Jersey 08830. Our phone number is (609) 619-3990. You may also view the documents that we file with the SEC and incorporate by reference in this prospectus on our corporate website at www.outlooktherapeutics.com. The information on our website is not incorporated by reference and is not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649989/000110465925123264/otlk-20250930x10k.htm" TargetMode="External"/><Relationship Id="rId4" Type="http://schemas.openxmlformats.org/officeDocument/2006/relationships/hyperlink" Target="https://www.sec.gov/ix?doc=/Archives/edgar/data/0001649989/000110465925123264/otlk-20250930x10k.htm" TargetMode="External"/><Relationship Id="rId5" Type="http://schemas.openxmlformats.org/officeDocument/2006/relationships/hyperlink" Target="https://www.sec.gov/ix?doc=/Archives/edgar/data/0001649989/000110465926047741/tm2612578d1_8k.htm" TargetMode="External"/><Relationship Id="rId6" Type="http://schemas.openxmlformats.org/officeDocument/2006/relationships/hyperlink" Target="https://www.sec.gov/ix?doc=/Archives/edgar/data/0001649989/000110465925123264/otlk-20250930x10k.htm" TargetMode="External"/><Relationship Id="rId7" Type="http://schemas.openxmlformats.org/officeDocument/2006/relationships/hyperlink" Target="https://www.sec.gov/ix?doc=/Archives/edgar/data/0001649989/000110465925123264/otlk-20250930x10k.htm" TargetMode="External"/><Relationship Id="rId8" Type="http://schemas.openxmlformats.org/officeDocument/2006/relationships/hyperlink" Target="https://www.sec.gov/ix?doc=/Archives/edgar/data/1649989/000110465925123264/otlk-20250930x10k.htm" TargetMode="External"/><Relationship Id="rId9" Type="http://schemas.openxmlformats.org/officeDocument/2006/relationships/hyperlink" Target="https://www.sec.gov/ix?doc=/Archives/edgar/data/0001649989/000114036126002406/ny20058729x1_def14a.htm" TargetMode="External"/><Relationship Id="rId10" Type="http://schemas.openxmlformats.org/officeDocument/2006/relationships/hyperlink" Target="https://www.sec.gov/ix?doc=/Archives/edgar/data/0001649989/000110465926016554/otlk-20251231x10q.htm" TargetMode="External"/><Relationship Id="rId11" Type="http://schemas.openxmlformats.org/officeDocument/2006/relationships/hyperlink" Target="https://www.sec.gov/ix?doc=/Archives/edgar/data/0001649989/000110465926062632/otlk-20260331x10q.htm" TargetMode="External"/><Relationship Id="rId12" Type="http://schemas.openxmlformats.org/officeDocument/2006/relationships/hyperlink" Target="https://www.sec.gov/ix?doc=/Archives/edgar/data/0001649989/000110465925105633/tm2530088d1_8k.htm" TargetMode="External"/><Relationship Id="rId13" Type="http://schemas.openxmlformats.org/officeDocument/2006/relationships/hyperlink" Target="https://www.sec.gov/ix?doc=/Archives/edgar/data/0001649989/000110465925111316/tm2531109d1_8k.htm" TargetMode="External"/><Relationship Id="rId14" Type="http://schemas.openxmlformats.org/officeDocument/2006/relationships/hyperlink" Target="https://www.sec.gov/ix?doc=/Archives/edgar/data/0001649989/000110465926000066/tm2534608d1_8k.htm" TargetMode="External"/><Relationship Id="rId15" Type="http://schemas.openxmlformats.org/officeDocument/2006/relationships/hyperlink" Target="https://www.sec.gov/ix?doc=/Archives/edgar/data/0001649989/000110465926013470/tm265994d1_8k.htm" TargetMode="External"/><Relationship Id="rId16" Type="http://schemas.openxmlformats.org/officeDocument/2006/relationships/hyperlink" Target="https://www.sec.gov/ix?doc=/Archives/edgar/data/0001649989/000110465926017118/tm266772d1_8k.htm" TargetMode="External"/><Relationship Id="rId17" Type="http://schemas.openxmlformats.org/officeDocument/2006/relationships/hyperlink" Target="https://www.sec.gov/ix?doc=/Archives/edgar/data/0001649989/000110465926024189/tm268164d1_8k.htm" TargetMode="External"/><Relationship Id="rId18" Type="http://schemas.openxmlformats.org/officeDocument/2006/relationships/hyperlink" Target="https://www.sec.gov/ix?doc=/Archives/edgar/data/0001649989/000110465926025893/tm268371d2_8k.htm" TargetMode="External"/><Relationship Id="rId19" Type="http://schemas.openxmlformats.org/officeDocument/2006/relationships/hyperlink" Target="https://www.sec.gov/ix?doc=/Archives/edgar/data/0001649989/000110465926026465/tm268371d1_8k.htm" TargetMode="External"/><Relationship Id="rId20" Type="http://schemas.openxmlformats.org/officeDocument/2006/relationships/hyperlink" Target="https://www.sec.gov/ix?doc=/Archives/edgar/data/0001649989/000110465926028103/tm268874d1_8k.htm" TargetMode="External"/><Relationship Id="rId21" Type="http://schemas.openxmlformats.org/officeDocument/2006/relationships/hyperlink" Target="https://www.sec.gov/ix?doc=/Archives/edgar/data/0001649989/000110465926034601/tm269822d1_8k.htm" TargetMode="External"/><Relationship Id="rId22" Type="http://schemas.openxmlformats.org/officeDocument/2006/relationships/hyperlink" Target="https://www.sec.gov/ix?doc=/Archives/edgar/data/0001649989/000110465926040387/tm2611268d1_8k.htm" TargetMode="External"/><Relationship Id="rId23" Type="http://schemas.openxmlformats.org/officeDocument/2006/relationships/hyperlink" Target="https://www.sec.gov/ix?doc=/Archives/edgar/data/0001649989/000110465926046014/tm2612353d1_8k.htm" TargetMode="External"/><Relationship Id="rId24" Type="http://schemas.openxmlformats.org/officeDocument/2006/relationships/hyperlink" Target="https://www.sec.gov/ix?doc=/Archives/edgar/data/0001649989/000110465926047741/tm2612578d1_8k.htm" TargetMode="External"/><Relationship Id="rId25" Type="http://schemas.openxmlformats.org/officeDocument/2006/relationships/hyperlink" Target="https://www.sec.gov/ix?doc=/Archives/edgar/data/0001649989/000110465926060305/tm2614480d1_8k.htm" TargetMode="External"/><Relationship Id="rId26" Type="http://schemas.openxmlformats.org/officeDocument/2006/relationships/hyperlink" Target="https://www.sec.gov/ix?doc=/Archives/edgar/data/0001649989/000110465926065992/tm2615583d1_8k.htm" TargetMode="External"/><Relationship Id="rId27" Type="http://schemas.openxmlformats.org/officeDocument/2006/relationships/hyperlink" Target="https://www.sec.gov/ix?doc=/Archives/edgar/data/0001649989/000110465926067614/tm2615925d1_8k.htm" TargetMode="External"/><Relationship Id="rId28" Type="http://schemas.openxmlformats.org/officeDocument/2006/relationships/hyperlink" Target="https://www.sec.gov/ix?doc=/Archives/edgar/data/0001649989/000110465926068306/tm2615979d1_8k.htm" TargetMode="External"/><Relationship Id="rId29" Type="http://schemas.openxmlformats.org/officeDocument/2006/relationships/hyperlink" Target="https://www.sec.gov/ix?doc=/Archives/edgar/data/0001649989/000110465926068659/tm2616461d1_8k.htm" TargetMode="External"/><Relationship Id="rId30" Type="http://schemas.openxmlformats.org/officeDocument/2006/relationships/hyperlink" Target="https://www.sec.gov/ix?doc=/Archives/edgar/data/0001649989/000110465926074346/tm2618010d1_8k.htm" TargetMode="External"/><Relationship Id="rId31" Type="http://schemas.openxmlformats.org/officeDocument/2006/relationships/hyperlink" Target="https://www.sec.gov/ix?doc=/Archives/edgar/data/1649989/000110465926078337/tm2619105d1_8k.htm" TargetMode="External"/><Relationship Id="rId32" Type="http://schemas.openxmlformats.org/officeDocument/2006/relationships/hyperlink" Target="https://www.sec.gov/ix?doc=/Archives/edgar/data/1649989/000110465926084242/tm2620677d1_8k.htm" TargetMode="External"/><Relationship Id="rId33" Type="http://schemas.openxmlformats.org/officeDocument/2006/relationships/hyperlink" Target="https://www.sec.gov/Archives/edgar/data/1649989/000157104916014572/t1601167_8a.htm" TargetMode="External"/><Relationship Id="rId34" Type="http://schemas.openxmlformats.org/officeDocument/2006/relationships/hyperlink" Target="https://www.sec.gov/Archives/edgar/data/1649989/000157104916015100/t1601309_8a.htm" TargetMode="External"/><Relationship Id="rId35" Type="http://schemas.openxmlformats.org/officeDocument/2006/relationships/hyperlink" Target="https://www.sec.gov/Archives/edgar/data/1649989/000110465925123264/otlk-20250930xex4d1.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9280</Words>
  <Characters>49623</Characters>
  <CharactersWithSpaces>58949</CharactersWithSpaces>
  <Paragraphs>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