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ilename1.htm"/>
      <w:bookmarkStart w:id="1" w:name="ksfilename1"/>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U.S. Securities and Exchange Commission on July 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38-3982704</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S. Wood Avenue, Unit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Iselin, New Jersey 08830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619-3990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A. Kenyon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S. Wood Avenue, Unit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Iselin, New Jersey 08830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619-3990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Yvan-Claude Pierre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Courtney M.W. Tygesson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N. Wacker Drive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Suite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60606-1511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881-6500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4136"/>
          <w:sz w:val="20"/>
        </w:rPr>
      </w:pPr>
      <w:r>
        <w:rPr>
          <w:rFonts w:ascii="Times New Roman;Times;Serif" w:hAnsi="Times New Roman;Times;Serif"/>
          <w:b/>
          <w:i w:val="false"/>
          <w:caps w:val="false"/>
          <w:smallCaps w:val="false"/>
          <w:color w:val="FF4136"/>
          <w:sz w:val="2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86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17,258,065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from time to time by the selling stockholders of up to an aggregate of 17,258,065 shares of our common stock, issued by us in connection with a securities offering that closed on April 23, 2026, consisting of (i) 16,129,033 shares of common stock issuable upon the exercise of outstanding warrants, or the Common Warrants, issued to certain of the selling stockholders in a private placement and (ii) 1,129,032 shares of common stock issuable upon the exercise of outstanding placement agent warrants, or the Placement Agent Warrants and, together with the Common Warrants, the Warrants, issued to the placement agent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Registration Statement on Form S-3, of which this prospectus forms a part, to fulfill our contractual obligations with the selling stockholders to provide for the resale by the selling stockholders of the shares of our common stock described in this prospectus. The registration of the shares to which this prospectus relates does not require the selling stockholders to sell any of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common stock under this prospectus and will not receive any proceeds from the sale by the selling stockholders of such shares. We will, however, receive the net proceeds of any Warrants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“OTLK.” On July 7, 2026, the last reported sale price of our common stock was $1.46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the information under “Risk Factors” on page 6 of this prospectus and under similar headings in any amendment or supplement to this prospectus or in any filing with the Securities and Exchange Commission that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ABOUT THIS PROSPECTUS</w:t>
              </w:r>
            </w:hyperlink>
          </w:p>
        </w:tc>
        <w:tc>
          <w:tcPr>
            <w:tcW w:w="245" w:type="dxa"/>
            <w:tcBorders/>
            <w:vAlign w:val="center"/>
          </w:tcPr>
          <w:p>
            <w:pPr>
              <w:pStyle w:val="TableContents"/>
              <w:bidi w:val="0"/>
              <w:spacing w:before="0" w:after="283"/>
              <w:jc w:val="right"/>
              <w:rPr/>
            </w:pPr>
            <w:hyperlink w:anchor="a_002">
              <w:r>
                <w:rPr>
                  <w:rStyle w:val="InternetLink"/>
                  <w:rFonts w:ascii="Times New Roman;Times;Serif" w:hAnsi="Times New Roman;Times;Serif"/>
                  <w:b w:val="false"/>
                  <w:i w:val="false"/>
                  <w:caps w:val="false"/>
                  <w:smallCaps w:val="false"/>
                  <w:sz w:val="20"/>
                </w:rPr>
                <w:t>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vAlign w:val="center"/>
          </w:tcPr>
          <w:p>
            <w:pPr>
              <w:pStyle w:val="TableContents"/>
              <w:bidi w:val="0"/>
              <w:spacing w:before="0" w:after="283"/>
              <w:jc w:val="right"/>
              <w:rPr/>
            </w:pPr>
            <w:hyperlink w:anchor="a_003">
              <w:r>
                <w:rPr>
                  <w:rStyle w:val="InternetLink"/>
                  <w:rFonts w:ascii="Times New Roman;Times;Serif" w:hAnsi="Times New Roman;Times;Serif"/>
                  <w:b w:val="false"/>
                  <w:i w:val="false"/>
                  <w:caps w:val="false"/>
                  <w:smallCaps w:val="false"/>
                  <w:sz w:val="20"/>
                </w:rPr>
                <w:t>iii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PROSPECTUS SUMMARY</w:t>
              </w:r>
            </w:hyperlink>
          </w:p>
        </w:tc>
        <w:tc>
          <w:tcPr>
            <w:tcW w:w="245" w:type="dxa"/>
            <w:tcBorders/>
            <w:vAlign w:val="center"/>
          </w:tcPr>
          <w:p>
            <w:pPr>
              <w:pStyle w:val="TableContents"/>
              <w:bidi w:val="0"/>
              <w:spacing w:before="0" w:after="283"/>
              <w:jc w:val="right"/>
              <w:rPr/>
            </w:pPr>
            <w:hyperlink w:anchor="a_004">
              <w:r>
                <w:rPr>
                  <w:rStyle w:val="InternetLink"/>
                  <w:rFonts w:ascii="Times New Roman;Times;Serif" w:hAnsi="Times New Roman;Times;Serif"/>
                  <w:b w:val="false"/>
                  <w:i w:val="false"/>
                  <w:caps w:val="false"/>
                  <w:smallCaps w:val="false"/>
                  <w:sz w:val="20"/>
                </w:rPr>
                <w:t>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vAlign w:val="center"/>
          </w:tcPr>
          <w:p>
            <w:pPr>
              <w:pStyle w:val="TableContents"/>
              <w:bidi w:val="0"/>
              <w:spacing w:before="0" w:after="283"/>
              <w:jc w:val="right"/>
              <w:rPr/>
            </w:pPr>
            <w:hyperlink w:anchor="a_006">
              <w:r>
                <w:rPr>
                  <w:rStyle w:val="InternetLink"/>
                  <w:rFonts w:ascii="Times New Roman;Times;Serif" w:hAnsi="Times New Roman;Times;Serif"/>
                  <w:b w:val="false"/>
                  <w:i w:val="false"/>
                  <w:caps w:val="false"/>
                  <w:smallCaps w:val="false"/>
                  <w:sz w:val="20"/>
                </w:rPr>
                <w:t>5</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pPr>
            <w:hyperlink w:anchor="a_007">
              <w:r>
                <w:rPr>
                  <w:rStyle w:val="InternetLink"/>
                  <w:rFonts w:ascii="Times New Roman;Times;Serif" w:hAnsi="Times New Roman;Times;Serif"/>
                  <w:b w:val="false"/>
                  <w:i w:val="false"/>
                  <w:caps w:val="false"/>
                  <w:smallCaps w:val="false"/>
                  <w:sz w:val="20"/>
                </w:rPr>
                <w:t>6</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USE OF PROCEEDS</w:t>
              </w:r>
            </w:hyperlink>
          </w:p>
        </w:tc>
        <w:tc>
          <w:tcPr>
            <w:tcW w:w="245" w:type="dxa"/>
            <w:tcBorders/>
            <w:vAlign w:val="center"/>
          </w:tcPr>
          <w:p>
            <w:pPr>
              <w:pStyle w:val="TableContents"/>
              <w:bidi w:val="0"/>
              <w:spacing w:before="0" w:after="283"/>
              <w:jc w:val="right"/>
              <w:rPr/>
            </w:pPr>
            <w:hyperlink w:anchor="a_008">
              <w:r>
                <w:rPr>
                  <w:rStyle w:val="InternetLink"/>
                  <w:rFonts w:ascii="Times New Roman;Times;Serif" w:hAnsi="Times New Roman;Times;Serif"/>
                  <w:b w:val="false"/>
                  <w:i w:val="false"/>
                  <w:caps w:val="false"/>
                  <w:smallCaps w:val="false"/>
                  <w:sz w:val="20"/>
                </w:rPr>
                <w:t>7</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SELLING STOCKHOLDERS</w:t>
              </w:r>
            </w:hyperlink>
          </w:p>
        </w:tc>
        <w:tc>
          <w:tcPr>
            <w:tcW w:w="245" w:type="dxa"/>
            <w:tcBorders/>
            <w:vAlign w:val="center"/>
          </w:tcPr>
          <w:p>
            <w:pPr>
              <w:pStyle w:val="TableContents"/>
              <w:bidi w:val="0"/>
              <w:spacing w:before="0" w:after="283"/>
              <w:jc w:val="right"/>
              <w:rPr/>
            </w:pPr>
            <w:hyperlink w:anchor="a_009">
              <w:r>
                <w:rPr>
                  <w:rStyle w:val="InternetLink"/>
                  <w:rFonts w:ascii="Times New Roman;Times;Serif" w:hAnsi="Times New Roman;Times;Serif"/>
                  <w:b w:val="false"/>
                  <w:i w:val="false"/>
                  <w:caps w:val="false"/>
                  <w:smallCaps w:val="false"/>
                  <w:sz w:val="20"/>
                </w:rPr>
                <w:t>8</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PLAN OF DISTRIBUTION</w:t>
              </w:r>
            </w:hyperlink>
          </w:p>
        </w:tc>
        <w:tc>
          <w:tcPr>
            <w:tcW w:w="245" w:type="dxa"/>
            <w:tcBorders/>
            <w:vAlign w:val="center"/>
          </w:tcPr>
          <w:p>
            <w:pPr>
              <w:pStyle w:val="TableContents"/>
              <w:bidi w:val="0"/>
              <w:spacing w:before="0" w:after="283"/>
              <w:jc w:val="right"/>
              <w:rPr/>
            </w:pPr>
            <w:hyperlink w:anchor="a_010">
              <w:r>
                <w:rPr>
                  <w:rStyle w:val="InternetLink"/>
                  <w:rFonts w:ascii="Times New Roman;Times;Serif" w:hAnsi="Times New Roman;Times;Serif"/>
                  <w:b w:val="false"/>
                  <w:i w:val="false"/>
                  <w:caps w:val="false"/>
                  <w:smallCaps w:val="false"/>
                  <w:sz w:val="20"/>
                </w:rPr>
                <w:t>11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vAlign w:val="center"/>
          </w:tcPr>
          <w:p>
            <w:pPr>
              <w:pStyle w:val="TableContents"/>
              <w:bidi w:val="0"/>
              <w:spacing w:before="0" w:after="283"/>
              <w:jc w:val="right"/>
              <w:rPr/>
            </w:pPr>
            <w:hyperlink w:anchor="a_011">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245" w:type="dxa"/>
            <w:tcBorders/>
            <w:vAlign w:val="center"/>
          </w:tcPr>
          <w:p>
            <w:pPr>
              <w:pStyle w:val="TableContents"/>
              <w:bidi w:val="0"/>
              <w:spacing w:before="0" w:after="283"/>
              <w:jc w:val="right"/>
              <w:rPr/>
            </w:pPr>
            <w:hyperlink w:anchor="a_012">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WHERE YOU CAN FIND ADDITIONAL INFORMATION</w:t>
              </w:r>
            </w:hyperlink>
          </w:p>
        </w:tc>
        <w:tc>
          <w:tcPr>
            <w:tcW w:w="245" w:type="dxa"/>
            <w:tcBorders/>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vAlign w:val="center"/>
          </w:tcPr>
          <w:p>
            <w:pPr>
              <w:pStyle w:val="TableContents"/>
              <w:bidi w:val="0"/>
              <w:spacing w:before="0" w:after="283"/>
              <w:jc w:val="right"/>
              <w:rPr/>
            </w:pPr>
            <w:hyperlink w:anchor="a_014">
              <w:r>
                <w:rPr>
                  <w:rStyle w:val="InternetLink"/>
                  <w:rFonts w:ascii="Times New Roman;Times;Serif" w:hAnsi="Times New Roman;Times;Serif"/>
                  <w:b w:val="false"/>
                  <w:i w:val="false"/>
                  <w:caps w:val="false"/>
                  <w:smallCaps w:val="false"/>
                  <w:sz w:val="20"/>
                </w:rPr>
                <w:t>14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2"/>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using a “shelf” registration process. Under this registration statement, the selling stockholders may from time to time sell the shares of common stock described in this prospectus in one or more offerings of the common stock described under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selling stockholders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3"/>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herein, contains, and any applicable prospectus supplement including the documents we incorporate by reference therein may contain,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obtain and maintain regulatory approval for ONS-5010/LYTENAVA in the United States and other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remedy the deficiencies identified in the most recent complete response letter issued by the FDA;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successfully commercialize and generate revenues from the sale of LYTENAVA™ (bevacizumab gamma) in the United Kingdom and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and degree of market acceptance of our current and future product candidates, including our commercialization strategy and manufacturing capabilities for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fund our working capital requirements, the sufficiency of our current cash resources and our need for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the potential market size and the size of the patient populations for our product candidates, if approved, for commercial 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results of our clinical trials will be sufficient to support domestic or global regulatory approvals;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initiation, timing, progress and results of our clinical trials of our lead product candidate,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reliance on our contract manufacturing organizations and other vendors;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implementation of our business model and strategic plans for our business and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developments or disputes concerning our intellectual property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and establish collaborations or obtain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government and third-party payor coverage and reimbursement;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55"/>
        <w:gridCol w:w="9873"/>
      </w:tblGrid>
      <w:tr>
        <w:trPr/>
        <w:tc>
          <w:tcPr>
            <w:tcW w:w="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Symbol" w:hAnsi="Symbol"/>
              </w:rPr>
            </w:pPr>
            <w:r>
              <w:rPr>
                <w:rFonts w:ascii="Symbol" w:hAnsi="Symbol"/>
              </w:rPr>
              <w:t>·</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compete in the markets we serve;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factors that may impact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under the heading “Risk Factors” on page 6 of this prospectus and under the section titled “Risk Factors” contained in our Annual Report on Form 10-K for the fiscal year ended September 30, 2025, filed with the SEC on </w:t>
      </w:r>
      <w:hyperlink r:id="rId3">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filings, which are incorporated by reference into this prospectus. These risks are not exhaustive. Additional factors could harm our business and financial performance, such as risks associated with the uncertainty of market conditions and future impacts related to macroeconomic factors, including as a result of global geopolitical conflict, tariffs and trade tensions, fluctuations in interest rates and inflation, and potential future bank failures on the global business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prospectus, and any applicable prospectus supplement, together with the documents we have filed with the SEC that are incorporated by reference herein or therein,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a_004"/>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and in the documents we incorporate by reference. This summary is not complete and does not contain all of the information you should consider before investing in our securities. You should read this entire prospectus carefully, especially the risks of investing in our securities discussed under “Risk Factors” beginning on page 6 of this prospectus and under similar headings in our Annual Report on Form 10-K for the fiscal year ended September 30, 2025, filed with the SEC on </w:t>
      </w:r>
      <w:hyperlink r:id="rId4">
        <w:r>
          <w:rPr>
            <w:rStyle w:val="InternetLink"/>
            <w:rFonts w:ascii="Times New Roman;Times;Serif" w:hAnsi="Times New Roman;Times;Serif"/>
            <w:b w:val="false"/>
            <w:i/>
            <w:caps w:val="false"/>
            <w:smallCaps w:val="false"/>
            <w:color w:val="0000FF"/>
            <w:sz w:val="20"/>
            <w:bdr w:val="single" w:sz="8" w:space="1" w:color="000000"/>
          </w:rPr>
          <w:t>December 19, 2025</w:t>
        </w:r>
      </w:hyperlink>
      <w:r>
        <w:rPr>
          <w:rFonts w:ascii="Times New Roman;Times;Serif" w:hAnsi="Times New Roman;Times;Serif"/>
          <w:b w:val="false"/>
          <w:i/>
          <w:caps w:val="false"/>
          <w:smallCaps w:val="false"/>
          <w:sz w:val="20"/>
          <w:bdr w:val="single" w:sz="8" w:space="1" w:color="000000"/>
        </w:rPr>
        <w:t>, as updated by our subsequent filings, which are incorporated by reference in this prospectus, along with our consolidated financial statements and notes to those consolidated financial statements and the other information incorporated by reference in this prospectus,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Unless the context indicates otherwise, references in this prospectus to “Outlook,” “Outlook Therapeutics,” the “Company,” “we,” “us,” “our” and similar references refer to Outlook Therapeutics, Inc., a Delaware corporation, and its subsidiaries on a consolidated basis.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biopharmaceutical company that has developed LYTENAVA</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xml:space="preserve"> (bevacizumab gamma) as the first and only ophthalmic formulation of bevacizumab approved by the European Commission in the European Union, or EU, and the Medicines and Healthcare products Regulatory Agency, or MHRA, in the United Kingdom, or UK, for use in adults for the treatment of wet age-related macular degeneration, or wet AMD. In June 2025, we launched directly into the initial markets of Germany and the UK and are planning for launches in other EU countries either directly or with a licensing partner. Additionally, we are attempting to receive approval for ONS-5010/LYTENAVA by the U.S. Food and Drug Administration, or FDA, for the use of ONS-5010/LYTENAVA as a treatment for wet AMD in the United States. If approved in the U.S., our goal is to also launch directly in the United States as the first and only approved ophthalmic bevacizumab for the treatment of wet AMD. In addition to Europe and the United States, we may seek approval to launch the product in other markets outside of Europe and the U.S. either directly or with licensing partners.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Bevacizumab is a full-length, humanized anti-VEGF (Vascular Endothelial Growth Factor) recombinant monoclonal antibody, or mAb, that inhibits VEGF and associated angiogenic activity. Prior to the approval of ONS-5010/LYTENAVA in the 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are not using the biosimilar drug regulatory pathway that would be required if bevacizumab were an approved drug for the targeted disease. Off-label repackaged bevacizumab is a frequently used first-line anti-VEGF treatment in Europe (approximately 2.8 million injections annually) and the United States (approximately 2.7 million injections annually) based on data compiled from various sources (Citeline (2023), Global Data (2023) and Market Scope (2022); ASRS 2024 Membership Survey; Market Scope 2024 US Retina Quarterly Updates; GlobalData: Age-Related Macular Degeneration: Global Drug Forecast and Market Analysis to 2028 (April 2020)). We believe ONS-5010/LYTENAVA has potential to mitigate risks associated with off-label use of unapproved bevacizumab. We believe there is significant opportunity in Europe with a total anti-VEGF retina market estimated to be approximately $3.6 billion, including approximately 1.52 million treated patients and approximately 8.3 million total anti-VEGF units (Global Data (2023); Market Scope (2022); IQVIA MIDAS data Q3 2023; Graefe's Archive for Clinical and Experimental Ophthalmology (2020) 258:503–511). We similarly see significant opportunity in the United States, with an estimated $8.5 billion total anti-VEGF retina market, where 55% of physician state off-label repackaged bevacizumab is the preferred first-line product. It is estimated that 34% of the total anti-VEGF market is off-label bevacizumab (new and maintenance therapy) (Citeline (2023); Global Data (2023); Market Scope (2022); ASRS 2024 Membership Survey; Market Scope 2024 US Retina Quarterly Updates; GlobalData: Age-Related Macular Degeneration: Global Drug Forecast and Market Analysis to 2028 (April 2020)). We estimate the global market for anti-VEGF retina to be approximately $16 billion (Citeline (2023), Global Data (2023) and Market Scope (2022)).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May 2024, the European Commission granted the Marketing Authorization for ONS-5010/LYTENAVA for the treatment of wet AMD in the EU. The decision applied automatically in all 27 EU Member States, and, within 30 days, also to Iceland, Norway and Liechtenstein. In July 2024, the MHRA granted marketing authorization for ONS-5010/LYTENAVA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ONS-5010/LYTENAVA is the first and only authorized ophthalmic formulation of bevacizumab for use in treating wet AMD in the EU and UK.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Separately, in March 2022, we submitted a BLA to the FDA for ONS-5010/LYTENAVA for the treatment of wet AMD. In May 2022, we voluntarily withdrew our BLA to provide additional information requested by the FDA. We re-submitted the BLA to the FDA for ONS-5010/LYTENAVA in August 2022, and in October 2022, we received confirmation from the FDA that our BLA had been accepted for filing. In August 2023, we received a Complete Response Letter, or CRL, in which the FDA concluded it could not approve the BLA during this review cycle due to several chemical, manufacturing and control, or CMC, issues, open observations from pre-approval manufacturing inspections, and a lack of substantial evidence. At subsequent Type A meetings with the FDA, we learned that the FDA required the completion of an additional adequate and well-controlled clinical trial evaluating ONS-5010/LYTENAVA, as well as additional requested CMC data indicated in the CRL to approve ONS-5010/LYTENAVA for use in wet AMD.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agreed to conduct an additional adequate and well-controlled clinical trial following discussions with the FDA in support of our BLA for ONS-5010/LYTENAVA. In December 2023, we submitted a Special Protocol Assessment, or SPA, to the FDA for this study (NORSE EIGHT) seeking confirmation that, if successful, it would address the FDA’s requirement for a second adequate and well-controlled clinical trial to support our planned resubmission of the ONS-5010/LYTENAVA BLA. In January 2024, we received confirmation that the FDA had reviewed and agreed upon the NORSE EIGHT trial protocol pursuant to the SPA. In November 2024, we reported that ONS-5010/LYTENAVA did not meet the pre-specified non-inferiority endpoint at week 8 set forth in the SPA. Analysis of the complete week 12 data set for NORSE EIGHT provided additional evidence of improvement in vision and biological activity. We resubmitted the BLA for ONS-5010/LYTENAVA in February 2025. On August 27, 2025, we received a second CRL from the FDA. This CRL included only one deficiency, for a lack of substantial evidence of effectiveness. In the CRL, the FDA advised that, because ONS-5010 did not meet the primary efficacy endpoint in NORSE EIGHT, it was recommended that confirmatory evidence of efficacy be submitted to support the application for ONS-5010. Additionally, the FDA reiterated that NORSE TWO met its primary endpoint for effectiveness. Following a September 2025 Type A meeting with the FDA, we resubmitted the BLA in October 2025. On December 31, 2025, we reported that we had received a third CRL in which the FDA noted that the additional mechanistic and natural history data information provided in the BLA resubmission does not alter the previous review conclusion that while the one adequate and well-controlled study demonstrated efficacy, and the FDA has again recommended that confirmatory evidence of efficacy be submitted to support the application. However, the FDA did not indicate in the CRL what type of confirmatory evidence would be acceptable. In March 2026, we conducted a Type A meeting with the FDA. In April 2026, we completed a Formal Dispute Resolution, or FDR, meeting with the Office of New Drugs, or the OND, at the FDA as part of our ongoing efforts to seek alignment with the FDA regarding regulatory pathways for ONS-5010. In May 2026, we announced that the FDA granted the appeal following completion of the FDR process with the OND. The FDA concluded that substantial evidence of effectiveness has been established for LYTENAVA™ for the treatment of neovascular age-related macular degeneration. As a result, in June 2026, we resubmitted the ONS-5010/LYTENAVA™ (bevacizumab-vikg) BLA. If approved, we expect to receive 12 years of regulatory exclusivity in the United States.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22, 2026, we entered into a securities purchase agreement, or the Purchase Agreement, with certain institutional investors, or the Investors, pursuant to which we agreed to issue and sell (i) in a registered direct offering priced at-the-market under the rules of The Nasdaq Stock Market, or the Registered Direct Offering, an aggregate of 16,129,033 shares of our common stock, or the Shares, pursuant to an effective shelf registration statement on Form S-3 (No. 333-278340) and a related prospectus and prospectus supplement thereunder, and (ii) in a concurrent private placement, or the Private Placement, and together with the Registered Direct Offering, the Offering, Common Warrants to purchase 16,129,033 shares of common stock. The combined purchase price of each Share and accompanying Common Warrant was $0.31. The Offering closed on April 23, 2026. At closing, we received net proceeds of $4.2 million, after deducting placement agent fees and offering expenses. We intend to use the net proceeds from the Offering primarily for working capital and general corporate purposes.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Warrants have a per share exercise price of $0.31 and became exercisable following satisfaction of the relevant conditions to exercise on</w:t>
        <w:tab/>
        <w:t>     </w:t>
        <w:tab/>
        <w:t>     , 2026. The Common Warrants expire on the fifth anniversary of the later of (i)</w:t>
        <w:tab/>
        <w:t>     </w:t>
        <w:tab/>
        <w:t>     , 2026, and (ii) the date on which this registration statement becomes effective.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exercise price and the number of shares issuable upon exercise of the Common Warrants, or the Common Warrant Shares, are subject to customary adjustments in the event of stock dividends, stock splits, pro rata distributions or similar events in respect of the common stock. Subject to limited exceptions, a holder (together with its affiliates) of the Common Warrants will not be entitled to exercise any portion of any Common Warrant, which upon giving effect to such exercise would cause the aggregate number of shares of common stock beneficially owned by the holder (together with its affiliates) to exceed 4.99% (or, upon election of the holder, 9.99%) of the number of shares of the common stock outstanding immediately after giving effect to the exercise, subject to such holder’s rights under the Common Warrants to increase or decrease such percentage to another percentage not in excess of 9.99% upon notice from such holder to the Company (at least 61 days’ prior notice in the case of an increase).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H.C. Wainwright &amp; Co., LLC, or Wainwright or the Placement Agent, acted as our exclusive placement agent in connection with the Offering pursuant to an engagement letter, or the Engagement Letter, dated as of March 11, 2026, as amended on April 21, 2026, by and between the Company and the Placement Agent. Pursuant to the Engagement Letter, the Company agreed to issue to the Placement Agent (or its designees) Placement Agent Warrants to purchase up to 1,129,032 shares of common stock (equal to 7.0% of the aggregate number of Shares). The Placement Agent Warrants have an exercise price of $0.3875 per share (which is 125% of the offering price per Share and accompanying Common Warrant in the Offering). The Placement Agent Warrants will expire on April 22, 2031 and otherwise have substantially the same terms as the Common Warrants. In this prospectus, we refer to the Common Warrants together with the Placement Agent Warrants as the Warrants, the shares of common stock issuable upon exercise of the Placement Agent Warrants as the Placement Agent Warrant Shares and, the Placement Agent Warrant Shares together with the Common Warrant Shares as the Warrant Shares.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Offering, we agreed to file a registration statement on Form S-3 providing for the resale of the Warrant Shares, or the Resale Registration Statement, as soon as practicable (and in any event within five calendar days of the effective date of a charter amendment to increase the authorized shares of the Company). We are required to use commercially reasonable efforts to keep the Resale Registration Statement effective at all times until the earlier of (i) the date on which the Warrant Shares may be resold without registration and without regard to any volume or manner-of-sale limitations by reason of Rule 144 under the Securities Act, without the requirement for the Company to be in compliance with the current public information under Rule 144 under the Securities Act or any other rule of similar effect or (ii) all of the Warrant Shares have been sold pursuant to the Resale Registration Statement or Rule 144 under the Securities Act or any other rule of similar effect.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8" w:space="1" w:color="000000"/>
        </w:rPr>
        <w:t xml:space="preserve">For more information regarding the Offering, see our Current Report on Form 8-K filed with the SEC on </w:t>
      </w:r>
      <w:hyperlink r:id="rId5">
        <w:r>
          <w:rPr>
            <w:rStyle w:val="InternetLink"/>
            <w:rFonts w:ascii="Times New Roman;Times;Serif" w:hAnsi="Times New Roman;Times;Serif"/>
            <w:b w:val="false"/>
            <w:i w:val="false"/>
            <w:caps w:val="false"/>
            <w:smallCaps w:val="false"/>
            <w:color w:val="0000FF"/>
            <w:sz w:val="20"/>
            <w:bdr w:val="single" w:sz="8" w:space="1" w:color="000000"/>
          </w:rPr>
          <w:t>April 23, 2026</w:t>
        </w:r>
      </w:hyperlink>
      <w:r>
        <w:rPr>
          <w:rFonts w:ascii="Times New Roman;Times;Serif" w:hAnsi="Times New Roman;Times;Serif"/>
          <w:b w:val="false"/>
          <w:i w:val="false"/>
          <w:caps w:val="false"/>
          <w:smallCaps w:val="false"/>
          <w:sz w:val="20"/>
          <w:bdr w:val="single" w:sz="8" w:space="1" w:color="000000"/>
        </w:rPr>
        <w:t xml:space="preserve"> and incorporated herein by reference.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Intellectual Property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 oppositions and pending intellectual property rights, preparing litigation strategies in view of the U.S. legislative framework and filing United States and international patent applications on technologies, inventions and improvements that are important to our business. As of March 31, 2026, we own three U.S. patents, and twenty-four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 and expected to expire no earlier than 2037. Our Application No. PCT/US2016/068847 was filed in 2016. Patents in this family are granted in Germany, United Kingdom, India, and Japan, and expected to expire no earlier than 2036. Our PCT Application No. PCT/US2016/014252 was filed in 2016. Patents in this family are granted in Germany, United Kingdom, and the U.S., and expected to expire no earlier than 2036. Our PCT Application No. PCT/US2017/016549 was filed in 2017. Patents in this family are granted in India and Japan, and expected to expire no earlier than 2037. We also rely on trade secrets, know-how and continuing technological innovation to develop and maintain our proprietary position.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initially incorporated in January 2010 in New Jersey as Oncobiologics, Inc., and in October 2015, we reincorporated in Delaware by merging with and into a Delaware corporation. In November 2018, we changed our name to Outlook Therapeutics, Inc. Our headquarters are located at 111 S. Wood Avenue, Unit #100, Iselin, New Jersey 08830, and our telephone number at that location is (609) 619-3990. Our website address is www.outlooktherapeutics.com. The information contained on, or that can be accessed through, our website is not part of, and is not incorporated by reference into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the Exchange Act. As a smaller reporting company, we are eligible to take advantage of certain exemptions from disclosure requirements,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a_006"/>
      <w:bookmarkEnd w:id="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01"/>
        <w:gridCol w:w="8504"/>
      </w:tblGrid>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offered by the selling stockholders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17,258,065 shares of our common stock, consisting of (i) 16,129,033 Common Warrant Shares and (ii) 1,129,032 Placement Agent Warrant Shares.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selling stockholder will determine when and how it will sell the Warrant Shares offered in this prospectus, as described in “Plan of Distribution.”</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Warrant Shares covered by this prospectus. We will, however, receive the net proceeds of any Warrants exercised for cash.</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8504" w:type="dxa"/>
            <w:tcBorders/>
            <w:vAlign w:val="center"/>
          </w:tcPr>
          <w:p>
            <w:pPr>
              <w:pStyle w:val="TableContents"/>
              <w:bidi w:val="0"/>
              <w:spacing w:before="0" w:after="283"/>
              <w:jc w:val="both"/>
              <w:rPr/>
            </w:pPr>
            <w:r>
              <w:rPr>
                <w:rFonts w:ascii="Times New Roman;Times;Serif" w:hAnsi="Times New Roman;Times;Serif"/>
                <w:sz w:val="20"/>
              </w:rPr>
              <w:t xml:space="preserve">An investment in our common stock involves a high degree of risk. See the information contained in, or incorporated by reference in, the section titled “Risk Factors” beginning on page 6 of this prospectus and under similar headings in our Annual Report on Form 10-K for the fiscal year ended September 30, 2025, filed with the SEC on </w:t>
            </w:r>
            <w:hyperlink r:id="rId6">
              <w:r>
                <w:rPr>
                  <w:rStyle w:val="InternetLink"/>
                  <w:rFonts w:ascii="Times New Roman;Times;Serif" w:hAnsi="Times New Roman;Times;Serif"/>
                  <w:color w:val="0000FF"/>
                  <w:sz w:val="20"/>
                </w:rPr>
                <w:t>December 19, 2025</w:t>
              </w:r>
            </w:hyperlink>
            <w:r>
              <w:rPr>
                <w:rFonts w:ascii="Times New Roman;Times;Serif" w:hAnsi="Times New Roman;Times;Serif"/>
                <w:sz w:val="20"/>
              </w:rPr>
              <w:t>, as updated by our subsequent filings, which are incorporated by reference in this prospectus.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symbol</w:t>
            </w:r>
          </w:p>
        </w:tc>
        <w:tc>
          <w:tcPr>
            <w:tcW w:w="8504" w:type="dxa"/>
            <w:tcBorders/>
            <w:vAlign w:val="center"/>
          </w:tcPr>
          <w:p>
            <w:pPr>
              <w:pStyle w:val="TableContents"/>
              <w:bidi w:val="0"/>
              <w:spacing w:before="0" w:after="283"/>
              <w:jc w:val="both"/>
              <w:rPr/>
            </w:pPr>
            <w:r>
              <w:rPr/>
              <w:t>“</w:t>
            </w:r>
            <w:r>
              <w:rPr>
                <w:rFonts w:ascii="Times New Roman;Times;Serif" w:hAnsi="Times New Roman;Times;Serif"/>
                <w:sz w:val="20"/>
              </w:rPr>
              <w:t>OTLK”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selling stockholders named in this prospectus may offer and sell up to 17,258,065 shares of our common stock. Our common stock is currently listed on The Nasdaq Capital Market under the symbol “OTLK.” Shares of our common stock that may be offered under this prospectus will be fully paid and non-assessable. We will not receive any of the proceeds of sales by the selling stockholders of any of the common stock covered by this prospectus. We will, however, receive the exercise price of $0.31 per share of any of the Common Warrants and the exercise price of $0.3875 per share of any of the Placement Agent Warrants exercised for cash. Throughout this prospectus, when we refer to the shares of our common stock being registered on behalf of the selling stockholders for offer and resale, we are referring to the Warrant Shares, which are the shares of common stock issuable upon exercise of the Warrants issued in connection with the Offering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7"/>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Investing in our securities involves a high degree of risk. You should carefully review the risks and uncertainties described under the heading “Risk Factors” in our Annual Report on Form 10-K for the fiscal year ended September 30, 2025, filed with the SEC on </w:t>
      </w:r>
      <w:hyperlink r:id="rId7">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annual, quarterly and other reports and documents that are incorporated herein by reference in their entirety, as well any amendment or updates to our risk factors reflected in subsequent filings with the SEC, including any applicable prospectus supplement, before deciding whether to purchase any of the shares of common stock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above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8"/>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Warrant Shares sold by the selling stockholders pursuant to this prospectus. Upon any exercise of the Warrants for cash, the applicable selling stockholder would pay us the exercise price set forth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has an exercise price equal to $0.31 per share, and if all 16,129,033 Common Warrants are exercised on a cash basis, we will receive proceeds of approximately $5.0 million. We expect to use any such proceeds primarily for working capital and general corporate purposes. The Common Warrants are exercisable at any time on or after</w:t>
        <w:tab/>
        <w:t>     </w:t>
        <w:tab/>
        <w:t>     , 2026 and expire on</w:t>
        <w:tab/>
        <w:t>     </w:t>
        <w:tab/>
        <w:t>     ,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Placement Agent Warrant has an exercise price equal to $0.3875 per share, and if all the 1,129,032 Placement Agent Warrants are exercised on a cash basis, we will receive proceeds of approximately $0.4 million. We expect to use any such proceeds primarily for working capital and general corporate purposes. The Placement Agent Warrants are exercisable at any time on or after</w:t>
        <w:tab/>
        <w:t>     </w:t>
        <w:tab/>
        <w:t>     2026 and expire on April 22,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only exercisable for cash, except where there is no effective registration statement registering, or the prospectus contained therein is not available for the issuance of, the Warrant Shares, in which case the Warrants may be exercised on a cashless basis. If any of the Warrants are exercised on a cashless basis, we would not receive any cash payment from the applicable selling stockholder upon any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Warrant Shares to be sold by the selling stockholders pursuant to this prospectus. Other than registration expenses, the selling stockholders will bear their own broker or similar commissions payable with respect to sales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9"/>
      <w:bookmarkEnd w:id="8"/>
      <w:r>
        <w:rPr>
          <w:rFonts w:ascii="Times New Roman;Times;Serif" w:hAnsi="Times New Roman;Times;Serif"/>
          <w:b/>
          <w:i w:val="false"/>
          <w:caps/>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 issuable to certain of the selling stockholders upon exercise of the Common Warrants issued in the Offering and (ii) issuable to certain of the selling stockholders upon exercise of the Placement Agent Warrants issued in connection with the Offering. For additional information regarding the issuance of the Warrants, see the section “Prospectus Summary—The Offering” above. We are registering the resale of the Warrant Shares in order to permit the selling stockholders to offer such shares for resale from time to time. Except for the ownership of the Warrants and the relationships with selling stockholders described under “Certain Relationships with Selling Stockholders,” we have not had any material relationship with the selling stockholders within the past three years. No selling stockholder currently holds, nor has any selling stockholder held within the past three years, any position or office with us or any of our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This information has been obtained from the selling stockholders. The second column lists the number of shares of common stock beneficially owned by each selling stockholder, based on its ownership of Warrants, as of June 22, 2026, assuming exercise of the Warrants held by the selling stockholders on that date, without regard to any limitations on exercise, unless otherwise indicated. The Warrants are exercisable only for cash, except in limited circumstances. The percentage of shares owned prior to and after the offering in the third and sixth columns are based on 186,996,998 shares of common stock outstanding as of June 22, 2026. The fourth column assumes the sale of all of the shares offered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Purchase Agreement, this prospectus generally covers the resale of the maximum number of shares of common stock issuable upon exercise of the Warrants. This maximum amount is determined as if the outstanding Warrants were exercised in full as of the trading day immediately preceding the date this registration statement was initially filed with the SEC, subject to adjustment as provided in the Purchase Agreement and without regard to any limitations on the exercise of the warrants. 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to each holder, of the number of shares of our common stock outstanding following such exercise (for purposes of the denominator, immediately after giving effect to the issuance of shares of common stock to be issued upon the applicable exercise of such Warrant). The number of shares in the second and fifth columns do not reflect this limitation, unless otherwise indicated below. The selling stockholders may sell all, some or none of their shares in this offering. See the section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61"/>
        <w:gridCol w:w="979"/>
        <w:gridCol w:w="60"/>
        <w:gridCol w:w="206"/>
        <w:gridCol w:w="949"/>
        <w:gridCol w:w="185"/>
        <w:gridCol w:w="60"/>
        <w:gridCol w:w="60"/>
        <w:gridCol w:w="845"/>
        <w:gridCol w:w="60"/>
        <w:gridCol w:w="68"/>
        <w:gridCol w:w="972"/>
        <w:gridCol w:w="60"/>
        <w:gridCol w:w="206"/>
        <w:gridCol w:w="949"/>
        <w:gridCol w:w="243"/>
      </w:tblGrid>
      <w:tr>
        <w:trPr/>
        <w:tc>
          <w:tcPr>
            <w:tcW w:w="4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5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Before Offering</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20"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Offering</w:t>
            </w:r>
          </w:p>
        </w:tc>
        <w:tc>
          <w:tcPr>
            <w:tcW w:w="243" w:type="dxa"/>
            <w:tcBorders/>
            <w:vAlign w:val="center"/>
          </w:tcPr>
          <w:p>
            <w:pPr>
              <w:pStyle w:val="TableContents"/>
              <w:bidi w:val="0"/>
              <w:spacing w:before="0" w:after="283"/>
              <w:jc w:val="center"/>
              <w:rPr/>
            </w:pPr>
            <w:r>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w:t>
              <w:br/>
              <w:t>of Shares</w:t>
              <w:br/>
              <w:t>Offered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243" w:type="dxa"/>
            <w:tcBorders/>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Armistice Capital, LLC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510 Madison Avenue, 7th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12,392,274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9,677,420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2,714,854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Intracoastal Capital LLC </w:t>
            </w:r>
            <w:r>
              <w:rPr>
                <w:rFonts w:ascii="Times New Roman;Times;Serif" w:hAnsi="Times New Roman;Times;Serif"/>
                <w:position w:val="7"/>
                <w:sz w:val="16"/>
                <w:sz w:val="20"/>
              </w:rPr>
              <w:t>(2)</w:t>
            </w:r>
            <w:r>
              <w:rPr>
                <w:rFonts w:ascii="Times New Roman;Times;Serif" w:hAnsi="Times New Roman;Times;Serif"/>
                <w:i/>
                <w:sz w:val="20"/>
              </w:rPr>
              <w:br/>
              <w:t>2211 A Lakeside Dr., Bannockburn, IL 60015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7,826,613</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6,451,613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Augustus Trading LLC </w:t>
            </w:r>
            <w:r>
              <w:rPr>
                <w:rFonts w:ascii="Times New Roman;Times;Serif" w:hAnsi="Times New Roman;Times;Serif"/>
                <w:b w:val="false"/>
                <w:i w:val="false"/>
                <w:caps w:val="false"/>
                <w:smallCaps w:val="false"/>
                <w:position w:val="7"/>
                <w:sz w:val="16"/>
                <w:sz w:val="20"/>
              </w:rPr>
              <w:t>(3)</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1,621,742</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723,992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897,750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Noam Rubinstein </w:t>
            </w:r>
            <w:r>
              <w:rPr>
                <w:rFonts w:ascii="Times New Roman;Times;Serif" w:hAnsi="Times New Roman;Times;Serif"/>
                <w:b w:val="false"/>
                <w:i w:val="false"/>
                <w:caps w:val="false"/>
                <w:smallCaps w:val="false"/>
                <w:position w:val="7"/>
                <w:sz w:val="16"/>
                <w:sz w:val="20"/>
              </w:rPr>
              <w:t>(4)</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796,645</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355,645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Wilson Drive Holdings LLC </w:t>
            </w:r>
            <w:r>
              <w:rPr>
                <w:rFonts w:ascii="Times New Roman;Times;Serif" w:hAnsi="Times New Roman;Times;Serif"/>
                <w:b w:val="false"/>
                <w:i w:val="false"/>
                <w:caps w:val="false"/>
                <w:smallCaps w:val="false"/>
                <w:position w:val="7"/>
                <w:sz w:val="16"/>
                <w:sz w:val="20"/>
              </w:rPr>
              <w:t>(5)</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85,355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38,105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Charles Worthman </w:t>
            </w:r>
            <w:r>
              <w:rPr>
                <w:rFonts w:ascii="Times New Roman;Times;Serif" w:hAnsi="Times New Roman;Times;Serif"/>
                <w:b w:val="false"/>
                <w:i w:val="false"/>
                <w:caps w:val="false"/>
                <w:smallCaps w:val="false"/>
                <w:position w:val="7"/>
                <w:sz w:val="16"/>
                <w:sz w:val="20"/>
              </w:rPr>
              <w:t>(6)</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11,290</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pPr>
            <w:r>
              <w:rPr/>
              <w:t>Represents beneficial ownership of 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283"/>
              <w:jc w:val="both"/>
              <w:rPr/>
            </w:pPr>
            <w:r>
              <w:rPr/>
              <w:t>Consists of 12,392,274 shares of common stock held by Armistice Capital Master Fund Ltd. a Cayman Islands exempted company, or the Master Fund, of which (a) 572,000 are shares of common stock held prior to the Offering, (b) 2,142,854 are shares of common stock issuable upon exercise of warrants held prior to the Offering and (b) 9,677,420 are shares of common stock issuable upon exercise of Common Warrants issued in connection with the Offering. The securities are directly held by the Master Fund and may be deemed to be beneficially owned by: (i) Armistice Capital, LLC, or Armistice Capital, as the investment manager of the Master Fund; and (ii) Steven Boyd, as the Managing Member of Armistice Capital. The warrants held by Master Fund are subject to a beneficial ownership limitation of 4.99%, which such limitation restricts the Master Fund from exercising that portion of the warrants that would result in the the Master Fund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Consists of 7,826,613 shares of common stock held by Intracoastal Capital LLC, or Intracoastal, of which (a) 1,375,000 are shares of common stock issuable upon exercise of warrants held prior to the Offering and (b) 6,451,613 are shares of common stock issuable upon exercise of Common Warrants issued in connection with the Offering. Mitchell P. Kopin and Daniel B.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Consists of 1,621,742 shares of common stock held by Augustus Trading LLC, of which (a) 897,750 are shares of common stock issuable upon exercise of warrants held prior to the Offering and (b) 723,992 are shares of common stock issuable upon exercise of Placement Agent Warrants issued in connection with the Offering. Orsium Capital LLC, the authorized agent to Augustus Trading LLC, has discretionary authority to vote and dispose of the securities held by Augustus Trading LLC and may be deemed to be the beneficial owner (as determined under Section 13(d) of the Exchange Act)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both"/>
              <w:rPr/>
            </w:pPr>
            <w:r>
              <w:rPr/>
              <w:t>Consists of 796,645 shares of common stock held by Noam Rubinstein of which (a) 441,000 are shares of common stock issuable upon exercise of warrants held prior to the Offering and (b) 355,645 are shares of common stock issuable upon exercise of Placement Agent Warrants issued in connection with the Offering. Mr. Rubinstein is affiliated with Wainwright, a registered broker-dealer. Mr. Rubinstein has the voting and dispositive power over the securities held, acquired the securities in the ordinary course of business and, at the time the securities were acquired, Mr. Rubinstein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283"/>
              <w:jc w:val="both"/>
              <w:rPr/>
            </w:pPr>
            <w:r>
              <w:rPr/>
              <w:t>Consists of 85,355 shares of common stock held by Wilson Drive Holdings LLC, of which (a) 47,250 are shares of common stock issuable upon exercise of warrants held prior to the Offering and (b) 38,105 are shares of common stock issuable upon exercise of Placement Agent Warrants issued in connection with the Offering. Craig Schwabe is the managing member Wilson Drive Holdings LLC and has the power to vote and dispose the securities held. Neither Wilson Drive Holdings LLC nor Mr. Schwabe is a broker-dealer. Mr. Schwabe is affiliated with the following registered broker-dealers: Wainwright,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both"/>
              <w:rPr/>
            </w:pPr>
            <w:r>
              <w:rPr/>
              <w:t>Consists of 25,290 shares of common stock held by Charles Worthman of which (a) 14,000 are shares of common stock issuable upon exercise of warrants held prior to the Offering and (b) 11,290 are shares of common stock issuable upon exercise of Placement Agent Warrants issued in connection with the Offering. Mr. Worthman has the voting and dispositive power over the securities held, acquired the securities in the ordinary course of business and, at the time the securities were acquired, Mr. Worthman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with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Armistice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we entered into a warrant exercise inducement offer letter agreement, or the Inducement Letter, with Armistice Capital, LLC, or Armistice, a selling stockholder, pursuant to which Armistice agreed to exercise in a warrant inducement transaction, existing warrants to purchase 1,071,427 shares of common stock at a reduced exercise price of $2.51 per share in exchange for our agreement to issue inducement warrants to purchase 2,142,854 shares of common stock at an exercise price of $2.26 per share. We filed two registration statements on Form S-3 (File No. 333-285973 and File No. 333-285438) to register the resale of the common stock underlying the inducement warrants. On April 22, 2026, we entered into a warrant amendment with Armistice, pursuant to which we agreed to amend the inducement warrants to purchase 2,142,854 shares of common stock previously issued in January 2025 to reduce the exercise price of such warrants to $0.31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January 22, 2024, we entered into a securities purchase agreement with certain institutional and accredited investors named therein, including Armistice, pursuant to which we issued Armistice, in a private placement, 1,785,712 shares of common stock for a purchase price of $5,000,000. We filed a registration statement on Form S-3 (File No. 333-278209) to register the resale of the shares issued to Armistice in January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Intracoastal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we entered into a securities purchase agreement with Intracoastal Capital LLC, a selling stockholder, pursuant to which we issued, in a best-efforts public offering, 2,000,000 shares of common stock and accompanying warrants to purchase up to 2,000,000 shares of common stock for an aggregate purchase price of $500,000. The warrants have an exercise price of $0.25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Wainwright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Wainwright has served as our exclusive placement agent and received the compensation described in the section entitled “Prospectus Summary—The Offering.” The Placement Agent Warrants were issued to Wainwright (or its designees) in connection with the Offering. From time to time, Wainwright may provide in the future advisory, investment and commercial banking and other services to us in the ordinary course of business, for which they have received and may continue to receive customary fees and commissions. Wainwright has acted as placement agent in a number of our past offerings and also serves as the sales agent under our sales agreement dated May 13, 2026, or the Sales Agreement, relating to the issuance and sale of shares of our common stock, for which it has received and may in the future receive, compensation. In accordance with the terms of the Sales Agreement, we may offer and sell shares of common stock having an aggregate offering price of up to $100,000,000 from time to time through or to Wainwright as our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10"/>
      <w:bookmarkEnd w:id="9"/>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Warrant Shares and any of their pledgees, assignees and successors-in-interest may, from time to time, sell any or all of their respective Warrant Shares covered hereby on The Nasdaq Capital Market or any other stock exchange, market or trading facility on which shares of the Company’s common stock are traded or in private transactions. These sales may be at fixed or negotiated prices. A selling stockholder may use any one or more of the following methods when selling the Warrant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Warrant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stockholders to sell a specified number of such Warrant Shares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also sell Warrant Shares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a selling stockholder may arrange for other brokers-dealers to participate in sales. Broker-dealers may receive commissions or discounts from a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and any broker-dealers or agents that are involved in selling the Warrant Shares may be deemed to be “underwriters” within the meaning of the Securities Act in connection with such sales. In such event, any commissions received by such broker-dealers or agents and any profit on the resale of the Warrant Shares purchased by them may be deemed to be underwriting commissions or discounts under the Securities Act. Each selling stockholder has informed us that it does not have any written or oral agreement or understanding, directly or indirectly, with any person to distribute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Warrant Shares. We have agreed to indemnify any selling stockholder against certain losses, claims, damages and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at all times until the earlier of (i) the date on which the Warrant Shares may be resold without registration and without regard to any volume or manner-of-sale limitations by reason of Rule 144 under the Securities Act, without the requirement for us to be in compliance with the current public information under Rule 144 under the Securities Act or any other rule of similar effect or (ii) all of the Warrant Shares have been sold pursuant to this prospectus or Rule 144 under the Securities Act or any other rule of similar effect. The Warrant Shares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Warrant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a selling stockholder or any other person. We will make copies of this prospectus available to a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1"/>
      <w:bookmarkEnd w:id="1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Outlook Therapeutics, Inc. as of September 30, 2025 and 2024, and for each of the years in the two-year period ended September 30, 2025,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2025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2"/>
      <w:bookmarkEnd w:id="11"/>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validity of the shares of common stock offered pursuant to this registration statement, will be passed upon for us by Cooley LLP, Chicago,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3"/>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the selling stockholders are offering for resale under this prospectus, we refer you to the registration statement and the exhibits and schedules filed as a part of the registration statement. You should rely only on information contained in this prospectus or incorporated by reference into this prospectus. We have not, and the selling stockholders have not, authorized any person to provide you with different information. We are not, and the selling stockholders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shares of common stock offered by this prospectus. We file annual, quarterly and current reports, proxy statements and other information with the SEC. Our SEC filings are available to the public at the SEC’s website at http://www.sec.gov. We maintain a website at http://www.outlooktherapeutics.com. Information contained in or accessible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4"/>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and documents listed below that we have filed with the SEC (Commission File No. 001-37759):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Annual Report on Form 10-K for the fiscal year ended September 30, 2025, filed with the SEC on </w:t>
            </w:r>
            <w:hyperlink r:id="rId8">
              <w:r>
                <w:rPr>
                  <w:rStyle w:val="InternetLink"/>
                  <w:rFonts w:ascii="Times New Roman;Times;Serif" w:hAnsi="Times New Roman;Times;Serif"/>
                </w:rPr>
                <w:t>December 19, 2025</w:t>
              </w:r>
            </w:hyperlink>
            <w:r>
              <w:rPr>
                <w:rFonts w:ascii="Times New Roman;Times;Serif" w:hAnsi="Times New Roman;Times;Serif"/>
              </w:rPr>
              <w:t xml:space="preserve">, or the 2025 Form 10-K, including the information specifically incorporated by reference therein from our Definitive Proxy Statement on Schedule 14A filed with the SEC on </w:t>
            </w:r>
            <w:hyperlink r:id="rId9">
              <w:r>
                <w:rPr>
                  <w:rStyle w:val="InternetLink"/>
                  <w:rFonts w:ascii="Times New Roman;Times;Serif" w:hAnsi="Times New Roman;Times;Serif"/>
                  <w:color w:val="0000FF"/>
                </w:rPr>
                <w:t>January 26,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quarters ended December 31, 2025 and March 31, 2026 filed with the SEC on </w:t>
            </w:r>
            <w:hyperlink r:id="rId10">
              <w:r>
                <w:rPr>
                  <w:rStyle w:val="InternetLink"/>
                  <w:rFonts w:ascii="Times New Roman;Times;Serif" w:hAnsi="Times New Roman;Times;Serif"/>
                  <w:color w:val="000080"/>
                </w:rPr>
                <w:t>February 17, 2026</w:t>
              </w:r>
            </w:hyperlink>
            <w:r>
              <w:rPr>
                <w:rFonts w:ascii="Times New Roman;Times;Serif" w:hAnsi="Times New Roman;Times;Serif"/>
                <w:color w:val="0000FF"/>
              </w:rPr>
              <w:t xml:space="preserve"> </w:t>
            </w:r>
            <w:r>
              <w:rPr>
                <w:rFonts w:ascii="Times New Roman;Times;Serif" w:hAnsi="Times New Roman;Times;Serif"/>
              </w:rPr>
              <w:t xml:space="preserve">and </w:t>
            </w:r>
            <w:hyperlink r:id="rId11">
              <w:r>
                <w:rPr>
                  <w:rStyle w:val="InternetLink"/>
                  <w:rFonts w:ascii="Times New Roman;Times;Serif" w:hAnsi="Times New Roman;Times;Serif"/>
                  <w:color w:val="0000FF"/>
                </w:rPr>
                <w:t>May 15,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12">
              <w:r>
                <w:rPr>
                  <w:rStyle w:val="InternetLink"/>
                  <w:rFonts w:ascii="Times New Roman;Times;Serif" w:hAnsi="Times New Roman;Times;Serif"/>
                  <w:color w:val="0000FF"/>
                  <w:sz w:val="20"/>
                </w:rPr>
                <w:t>November 3, 2025</w:t>
              </w:r>
            </w:hyperlink>
            <w:r>
              <w:rPr>
                <w:rFonts w:ascii="Times New Roman;Times;Serif" w:hAnsi="Times New Roman;Times;Serif"/>
                <w:color w:val="0000FF"/>
                <w:sz w:val="20"/>
                <w:u w:val="single"/>
              </w:rPr>
              <w:t xml:space="preserve">, </w:t>
            </w:r>
            <w:hyperlink r:id="rId13">
              <w:r>
                <w:rPr>
                  <w:rStyle w:val="InternetLink"/>
                  <w:rFonts w:ascii="Times New Roman;Times;Serif" w:hAnsi="Times New Roman;Times;Serif"/>
                  <w:color w:val="0000FF"/>
                  <w:sz w:val="20"/>
                </w:rPr>
                <w:t>November 13, 2025</w:t>
              </w:r>
            </w:hyperlink>
            <w:r>
              <w:rPr>
                <w:rFonts w:ascii="Times New Roman;Times;Serif" w:hAnsi="Times New Roman;Times;Serif"/>
                <w:color w:val="0000FF"/>
                <w:sz w:val="20"/>
                <w:u w:val="single"/>
              </w:rPr>
              <w:t xml:space="preserve">, </w:t>
            </w:r>
            <w:hyperlink r:id="rId14">
              <w:r>
                <w:rPr>
                  <w:rStyle w:val="InternetLink"/>
                  <w:rFonts w:ascii="Times New Roman;Times;Serif" w:hAnsi="Times New Roman;Times;Serif"/>
                  <w:color w:val="0000FF"/>
                  <w:sz w:val="20"/>
                </w:rPr>
                <w:t>January 2, 2026</w:t>
              </w:r>
            </w:hyperlink>
            <w:r>
              <w:rPr>
                <w:rFonts w:ascii="Times New Roman;Times;Serif" w:hAnsi="Times New Roman;Times;Serif"/>
                <w:color w:val="0000FF"/>
                <w:sz w:val="20"/>
                <w:u w:val="single"/>
              </w:rPr>
              <w:t xml:space="preserve">, </w:t>
            </w:r>
            <w:hyperlink r:id="rId15">
              <w:r>
                <w:rPr>
                  <w:rStyle w:val="InternetLink"/>
                  <w:rFonts w:ascii="Times New Roman;Times;Serif" w:hAnsi="Times New Roman;Times;Serif"/>
                  <w:color w:val="0000FF"/>
                  <w:sz w:val="20"/>
                </w:rPr>
                <w:t>February 11, 2026</w:t>
              </w:r>
            </w:hyperlink>
            <w:r>
              <w:rPr>
                <w:rFonts w:ascii="Times New Roman;Times;Serif" w:hAnsi="Times New Roman;Times;Serif"/>
                <w:color w:val="0000FF"/>
                <w:sz w:val="20"/>
                <w:u w:val="single"/>
              </w:rPr>
              <w:t xml:space="preserve">, </w:t>
            </w:r>
            <w:hyperlink r:id="rId16">
              <w:r>
                <w:rPr>
                  <w:rStyle w:val="InternetLink"/>
                  <w:rFonts w:ascii="Times New Roman;Times;Serif" w:hAnsi="Times New Roman;Times;Serif"/>
                  <w:color w:val="0000FF"/>
                  <w:sz w:val="20"/>
                </w:rPr>
                <w:t>February 18, 2026</w:t>
              </w:r>
            </w:hyperlink>
            <w:r>
              <w:rPr>
                <w:rFonts w:ascii="Times New Roman;Times;Serif" w:hAnsi="Times New Roman;Times;Serif"/>
                <w:color w:val="0000FF"/>
                <w:sz w:val="20"/>
                <w:u w:val="single"/>
              </w:rPr>
              <w:t xml:space="preserve">, </w:t>
            </w:r>
            <w:hyperlink r:id="rId17">
              <w:r>
                <w:rPr>
                  <w:rStyle w:val="InternetLink"/>
                  <w:rFonts w:ascii="Times New Roman;Times;Serif" w:hAnsi="Times New Roman;Times;Serif"/>
                  <w:color w:val="0000FF"/>
                  <w:sz w:val="20"/>
                </w:rPr>
                <w:t>March 5, 2026</w:t>
              </w:r>
            </w:hyperlink>
            <w:r>
              <w:rPr>
                <w:rFonts w:ascii="Times New Roman;Times;Serif" w:hAnsi="Times New Roman;Times;Serif"/>
                <w:color w:val="0000FF"/>
                <w:sz w:val="20"/>
                <w:u w:val="single"/>
              </w:rPr>
              <w:t xml:space="preserve">, </w:t>
            </w:r>
            <w:hyperlink r:id="rId18">
              <w:r>
                <w:rPr>
                  <w:rStyle w:val="InternetLink"/>
                  <w:rFonts w:ascii="Times New Roman;Times;Serif" w:hAnsi="Times New Roman;Times;Serif"/>
                  <w:color w:val="0000FF"/>
                  <w:sz w:val="20"/>
                </w:rPr>
                <w:t>March 10, 2026</w:t>
              </w:r>
            </w:hyperlink>
            <w:r>
              <w:rPr>
                <w:rFonts w:ascii="Times New Roman;Times;Serif" w:hAnsi="Times New Roman;Times;Serif"/>
                <w:color w:val="0000FF"/>
                <w:sz w:val="20"/>
                <w:u w:val="single"/>
              </w:rPr>
              <w:t xml:space="preserve">, </w:t>
            </w:r>
            <w:hyperlink r:id="rId19">
              <w:r>
                <w:rPr>
                  <w:rStyle w:val="InternetLink"/>
                  <w:rFonts w:ascii="Times New Roman;Times;Serif" w:hAnsi="Times New Roman;Times;Serif"/>
                  <w:color w:val="0000FF"/>
                  <w:sz w:val="20"/>
                </w:rPr>
                <w:t>March 11, 2026</w:t>
              </w:r>
            </w:hyperlink>
            <w:r>
              <w:rPr>
                <w:rFonts w:ascii="Times New Roman;Times;Serif" w:hAnsi="Times New Roman;Times;Serif"/>
                <w:color w:val="0000FF"/>
                <w:sz w:val="20"/>
                <w:u w:val="single"/>
              </w:rPr>
              <w:t xml:space="preserve">, </w:t>
            </w:r>
            <w:hyperlink r:id="rId20">
              <w:r>
                <w:rPr>
                  <w:rStyle w:val="InternetLink"/>
                  <w:rFonts w:ascii="Times New Roman;Times;Serif" w:hAnsi="Times New Roman;Times;Serif"/>
                  <w:color w:val="0000FF"/>
                  <w:sz w:val="20"/>
                </w:rPr>
                <w:t>March 16, 2026</w:t>
              </w:r>
            </w:hyperlink>
            <w:r>
              <w:rPr>
                <w:rFonts w:ascii="Times New Roman;Times;Serif" w:hAnsi="Times New Roman;Times;Serif"/>
                <w:color w:val="0000FF"/>
                <w:sz w:val="20"/>
                <w:u w:val="single"/>
              </w:rPr>
              <w:t xml:space="preserve">, </w:t>
            </w:r>
            <w:hyperlink r:id="rId21">
              <w:r>
                <w:rPr>
                  <w:rStyle w:val="InternetLink"/>
                  <w:rFonts w:ascii="Times New Roman;Times;Serif" w:hAnsi="Times New Roman;Times;Serif"/>
                  <w:color w:val="0000FF"/>
                  <w:sz w:val="20"/>
                </w:rPr>
                <w:t>March 25, 2026</w:t>
              </w:r>
            </w:hyperlink>
            <w:r>
              <w:rPr>
                <w:rFonts w:ascii="Times New Roman;Times;Serif" w:hAnsi="Times New Roman;Times;Serif"/>
                <w:color w:val="0000FF"/>
                <w:sz w:val="20"/>
                <w:u w:val="single"/>
              </w:rPr>
              <w:t xml:space="preserve">, </w:t>
            </w:r>
            <w:hyperlink r:id="rId22">
              <w:r>
                <w:rPr>
                  <w:rStyle w:val="InternetLink"/>
                  <w:rFonts w:ascii="Times New Roman;Times;Serif" w:hAnsi="Times New Roman;Times;Serif"/>
                  <w:color w:val="0000FF"/>
                  <w:sz w:val="20"/>
                </w:rPr>
                <w:t>April 7, 2026</w:t>
              </w:r>
            </w:hyperlink>
            <w:r>
              <w:rPr>
                <w:rFonts w:ascii="Times New Roman;Times;Serif" w:hAnsi="Times New Roman;Times;Serif"/>
                <w:color w:val="0000FF"/>
                <w:sz w:val="20"/>
                <w:u w:val="single"/>
              </w:rPr>
              <w:t xml:space="preserve">, </w:t>
            </w:r>
            <w:hyperlink r:id="rId23">
              <w:r>
                <w:rPr>
                  <w:rStyle w:val="InternetLink"/>
                  <w:rFonts w:ascii="Times New Roman;Times;Serif" w:hAnsi="Times New Roman;Times;Serif"/>
                  <w:color w:val="0000FF"/>
                  <w:sz w:val="20"/>
                </w:rPr>
                <w:t>April 21, 2026</w:t>
              </w:r>
            </w:hyperlink>
            <w:r>
              <w:rPr>
                <w:rFonts w:ascii="Times New Roman;Times;Serif" w:hAnsi="Times New Roman;Times;Serif"/>
                <w:color w:val="0000FF"/>
                <w:sz w:val="20"/>
                <w:u w:val="single"/>
              </w:rPr>
              <w:t xml:space="preserve">, </w:t>
            </w:r>
            <w:hyperlink r:id="rId24">
              <w:r>
                <w:rPr>
                  <w:rStyle w:val="InternetLink"/>
                  <w:rFonts w:ascii="Times New Roman;Times;Serif" w:hAnsi="Times New Roman;Times;Serif"/>
                  <w:color w:val="0000FF"/>
                  <w:sz w:val="20"/>
                </w:rPr>
                <w:t>April 23, 2026,</w:t>
              </w:r>
            </w:hyperlink>
            <w:r>
              <w:rPr/>
              <w:t xml:space="preserve"> </w:t>
            </w:r>
            <w:hyperlink r:id="rId25">
              <w:r>
                <w:rPr>
                  <w:rStyle w:val="InternetLink"/>
                  <w:rFonts w:ascii="Times New Roman;Times;Serif" w:hAnsi="Times New Roman;Times;Serif"/>
                  <w:color w:val="0000FF"/>
                  <w:sz w:val="20"/>
                </w:rPr>
                <w:t>May 13, 2026</w:t>
              </w:r>
            </w:hyperlink>
            <w:r>
              <w:rPr>
                <w:rFonts w:ascii="Times New Roman;Times;Serif" w:hAnsi="Times New Roman;Times;Serif"/>
                <w:color w:val="0000FF"/>
                <w:sz w:val="20"/>
                <w:u w:val="single"/>
              </w:rPr>
              <w:t xml:space="preserve">, </w:t>
            </w:r>
            <w:hyperlink r:id="rId26">
              <w:r>
                <w:rPr>
                  <w:rStyle w:val="InternetLink"/>
                  <w:rFonts w:ascii="Times New Roman;Times;Serif" w:hAnsi="Times New Roman;Times;Serif"/>
                  <w:color w:val="0000FF"/>
                  <w:sz w:val="20"/>
                </w:rPr>
                <w:t>May 26, 2026</w:t>
              </w:r>
            </w:hyperlink>
            <w:r>
              <w:rPr>
                <w:rFonts w:ascii="Times New Roman;Times;Serif" w:hAnsi="Times New Roman;Times;Serif"/>
                <w:color w:val="0000FF"/>
                <w:sz w:val="20"/>
                <w:u w:val="single"/>
              </w:rPr>
              <w:t xml:space="preserve">, </w:t>
            </w:r>
            <w:hyperlink r:id="rId27">
              <w:r>
                <w:rPr>
                  <w:rStyle w:val="InternetLink"/>
                  <w:rFonts w:ascii="Times New Roman;Times;Serif" w:hAnsi="Times New Roman;Times;Serif"/>
                  <w:color w:val="0000FF"/>
                  <w:sz w:val="20"/>
                </w:rPr>
                <w:t>May 28, 2026</w:t>
              </w:r>
            </w:hyperlink>
            <w:r>
              <w:rPr>
                <w:rFonts w:ascii="Times New Roman;Times;Serif" w:hAnsi="Times New Roman;Times;Serif"/>
                <w:color w:val="0000FF"/>
                <w:sz w:val="20"/>
                <w:u w:val="single"/>
              </w:rPr>
              <w:t xml:space="preserve">, </w:t>
            </w:r>
            <w:hyperlink r:id="rId28">
              <w:r>
                <w:rPr>
                  <w:rStyle w:val="InternetLink"/>
                  <w:rFonts w:ascii="Times New Roman;Times;Serif" w:hAnsi="Times New Roman;Times;Serif"/>
                  <w:color w:val="0000FF"/>
                  <w:sz w:val="20"/>
                </w:rPr>
                <w:t>May 29, 2026</w:t>
              </w:r>
            </w:hyperlink>
            <w:r>
              <w:rPr>
                <w:rFonts w:ascii="Times New Roman;Times;Serif" w:hAnsi="Times New Roman;Times;Serif"/>
                <w:color w:val="0000FF"/>
                <w:sz w:val="20"/>
                <w:u w:val="single"/>
              </w:rPr>
              <w:t xml:space="preserve">, </w:t>
            </w:r>
            <w:hyperlink r:id="rId29">
              <w:r>
                <w:rPr>
                  <w:rStyle w:val="InternetLink"/>
                  <w:rFonts w:ascii="Times New Roman;Times;Serif" w:hAnsi="Times New Roman;Times;Serif"/>
                  <w:color w:val="0000FF"/>
                  <w:sz w:val="20"/>
                </w:rPr>
                <w:t>June 1, 2026</w:t>
              </w:r>
            </w:hyperlink>
            <w:r>
              <w:rPr>
                <w:rFonts w:ascii="Times New Roman;Times;Serif" w:hAnsi="Times New Roman;Times;Serif"/>
                <w:sz w:val="20"/>
              </w:rPr>
              <w:t xml:space="preserve">, </w:t>
            </w:r>
            <w:hyperlink r:id="rId30">
              <w:r>
                <w:rPr>
                  <w:rStyle w:val="InternetLink"/>
                  <w:rFonts w:ascii="Times New Roman;Times;Serif" w:hAnsi="Times New Roman;Times;Serif"/>
                  <w:color w:val="0000FF"/>
                  <w:sz w:val="20"/>
                </w:rPr>
                <w:t>June 16, 2026</w:t>
              </w:r>
            </w:hyperlink>
            <w:r>
              <w:rPr/>
              <w:t xml:space="preserve"> </w:t>
            </w:r>
            <w:r>
              <w:rPr>
                <w:rFonts w:ascii="Times New Roman;Times;Serif" w:hAnsi="Times New Roman;Times;Serif"/>
                <w:sz w:val="20"/>
              </w:rPr>
              <w:t xml:space="preserve">and </w:t>
            </w:r>
            <w:hyperlink r:id="rId31">
              <w:r>
                <w:rPr>
                  <w:rStyle w:val="InternetLink"/>
                  <w:rFonts w:ascii="Times New Roman;Times;Serif" w:hAnsi="Times New Roman;Times;Serif"/>
                  <w:color w:val="0000FF"/>
                  <w:sz w:val="20"/>
                </w:rPr>
                <w:t>June 26, 2026</w:t>
              </w:r>
            </w:hyperlink>
            <w:r>
              <w:rPr/>
              <w:t xml:space="preserve"> </w:t>
            </w:r>
            <w:r>
              <w:rPr>
                <w:rFonts w:ascii="Times New Roman;Times;Serif" w:hAnsi="Times New Roman;Times;Serif"/>
                <w:sz w:val="20"/>
              </w:rPr>
              <w:t>to the extent the information in such reports is filed and not furnished;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set forth in our registration statement on Form 8-A, filed with the SEC on </w:t>
            </w:r>
            <w:hyperlink r:id="rId32">
              <w:r>
                <w:rPr>
                  <w:rStyle w:val="InternetLink"/>
                  <w:rFonts w:ascii="Times New Roman;Times;Serif" w:hAnsi="Times New Roman;Times;Serif"/>
                </w:rPr>
                <w:t>April 29, 2016</w:t>
              </w:r>
            </w:hyperlink>
            <w:r>
              <w:rPr>
                <w:rFonts w:ascii="Times New Roman;Times;Serif" w:hAnsi="Times New Roman;Times;Serif"/>
              </w:rPr>
              <w:t xml:space="preserve">, as amended on </w:t>
            </w:r>
            <w:hyperlink r:id="rId33">
              <w:r>
                <w:rPr>
                  <w:rStyle w:val="InternetLink"/>
                  <w:rFonts w:ascii="Times New Roman;Times;Serif" w:hAnsi="Times New Roman;Times;Serif"/>
                </w:rPr>
                <w:t>May 11, 2016</w:t>
              </w:r>
            </w:hyperlink>
            <w:r>
              <w:rPr>
                <w:rFonts w:ascii="Times New Roman;Times;Serif" w:hAnsi="Times New Roman;Times;Serif"/>
              </w:rPr>
              <w:t xml:space="preserve">, including any further amendments thereto or reports filed for the purposes of updating this description, including </w:t>
            </w:r>
            <w:hyperlink r:id="rId34">
              <w:r>
                <w:rPr>
                  <w:rStyle w:val="InternetLink"/>
                  <w:rFonts w:ascii="Times New Roman;Times;Serif" w:hAnsi="Times New Roman;Times;Serif"/>
                  <w:color w:val="0000FF"/>
                </w:rPr>
                <w:t>Exhibit 4.1 of the 2025 Form 10-K</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of which this prospectus is a part but prior to the termination of all offerings of securities covered by this prospectus (Commission File No. 001-37759).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111 S. Wood Avenue, Unit #100,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estimated expenses to be incurred by us in connection with the registration of the securities under this registration statement, all of which will be borne by us.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475"/>
        <w:gridCol w:w="60"/>
        <w:gridCol w:w="125"/>
        <w:gridCol w:w="695"/>
        <w:gridCol w:w="75"/>
      </w:tblGrid>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included by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or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restated certificate of incorporation provides for indemnification of our directors, officers, employees and other agents to the maximum extent permitted by DGCL Law, and our amended and restated bylaws provide for indemnification of our directors, officers, employees and other agents to the maximum extent permitted by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our director, officer, employee or agent, provided that such director or executive officer acted in good faith and in a manner that the director or executive officer reasonably believed to be in, or not opposed to, our best interest. At present, there is no pending litigation or proceeding involving any of our directors or executive officers regarding which indemnification is sought, nor are we aware of any threatened litigation that may result in claims for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policies that indemnify our directors and officers against various liabilities arising under the Securities Act of 1933, as amended, and the Securities Exchange Act of 1934, as amended, that might be incurred by any director or officer in his or her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color w:val="0000FF"/>
                  <w:sz w:val="20"/>
                </w:rPr>
                <w:t>Restated Certificate of Incorporation (incorporated by reference to Exhibit 3.1 to the Company’s Quarterly Report on Form 10-Q for the quarter ended March 31, 2024</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color w:val="0000FF"/>
                  <w:sz w:val="20"/>
                </w:rPr>
                <w:t>Certificate of Amendment of the Restated Certificate of Incorporation (incorporated by reference to Exhibit 3.1 to the Company’s current report on Form 8-K filed with the SEC on March 14, 2025</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color w:val="0000FF"/>
                  <w:sz w:val="20"/>
                </w:rPr>
                <w:t>Second Amended and Restated Bylaws (incorporated by reference to Exhibit 3.2 to the Company’s current report on Form 8-K filed with the SEC on March 26, 2021</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color w:val="0000FF"/>
                  <w:sz w:val="20"/>
                </w:rPr>
                <w:t>Form of Securities Purchase Agreement (incorporated by reference to Exhibit 10.1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color w:val="0000FF"/>
                  <w:sz w:val="20"/>
                </w:rPr>
                <w:t>Form of Common Warrant (incorporated by reference to Exhibit 4.1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color w:val="0000FF"/>
                  <w:sz w:val="20"/>
                </w:rPr>
                <w:t>Form of Placement Agent Warrant (incorporated by reference to Exhibit 4.2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color w:val="0000FF"/>
              </w:rPr>
            </w:pPr>
            <w:r>
              <w:rPr>
                <w:color w:val="0000FF"/>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Cooley LLP.</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independent registered public accounting firm.</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Cooley LLP (included in legal opinion filed as Exhibit 5.1).</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of Attorney (included on signature page).</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 fee 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4"/>
        <w:gridCol w:w="9674"/>
      </w:tblGrid>
      <w:tr>
        <w:trPr/>
        <w:tc>
          <w:tcPr>
            <w:tcW w:w="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(a)(1)</w:t>
            </w:r>
          </w:p>
        </w:tc>
        <w:tc>
          <w:tcPr>
            <w:tcW w:w="9674" w:type="dxa"/>
            <w:tcBorders/>
            <w:vAlign w:val="center"/>
          </w:tcPr>
          <w:p>
            <w:pPr>
              <w:pStyle w:val="TableContents"/>
              <w:bidi w:val="0"/>
              <w:spacing w:before="0" w:after="283"/>
              <w:jc w:val="both"/>
              <w:rPr/>
            </w:pPr>
            <w:r>
              <w:rPr/>
              <w:t>To file, during any period in which offers or sales are being made, a post-effective amendment to</w:t>
              <w:tab/>
              <w:t>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change in the maximum aggregate offering price set forth in the “Calculation of Filing Fee Table” exhibit to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6"/>
        <w:gridCol w:w="9814"/>
      </w:tblGrid>
      <w:tr>
        <w:trPr/>
        <w:tc>
          <w:tcPr>
            <w:tcW w:w="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(4)</w:t>
            </w:r>
          </w:p>
        </w:tc>
        <w:tc>
          <w:tcPr>
            <w:tcW w:w="9814"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Treatment Requested by 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17 C.F.R. Section 200.83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Iselin, New Jersey, on</w:t>
        <w:tab/>
        <w:t>     </w:t>
        <w:tab/>
        <w:t>     , 2026.</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OUTLOOK THERAPEUTICS,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Robert C. Jahr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PERSONS BY THESE PRESENTS, that each person whose signature appears below constitutes and appoints </w:t>
      </w:r>
      <w:r>
        <w:rPr>
          <w:rFonts w:ascii="Times New Roman;Times;Serif" w:hAnsi="Times New Roman;Times;Serif"/>
          <w:b w:val="false"/>
          <w:i w:val="false"/>
          <w:caps w:val="false"/>
          <w:smallCaps w:val="false"/>
          <w:color w:val="231F20"/>
          <w:sz w:val="20"/>
        </w:rPr>
        <w:t>Robert C. Jahr</w:t>
      </w:r>
      <w:r>
        <w:rPr>
          <w:rFonts w:ascii="Times New Roman;Times;Serif" w:hAnsi="Times New Roman;Times;Serif"/>
          <w:b w:val="false"/>
          <w:i w:val="false"/>
          <w:caps w:val="false"/>
          <w:smallCaps w:val="false"/>
          <w:sz w:val="20"/>
        </w:rPr>
        <w:t xml:space="preserve"> and Lawrence A. Kenyon, his or her true and lawful agent, proxy and attorney-in-fact, each acting alone, with full power of substitution and resubstitution, for him and her and in his and her name, place and stead, in any and all capacities, to (i) act on, sign, and file with the SEC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4"/>
        <w:gridCol w:w="60"/>
        <w:gridCol w:w="7865"/>
        <w:gridCol w:w="60"/>
        <w:gridCol w:w="546"/>
      </w:tblGrid>
      <w:tr>
        <w:trPr/>
        <w:tc>
          <w:tcPr>
            <w:tcW w:w="167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78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5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Robert C. Jahr</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br/>
              <w:t>(</w:t>
            </w: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A. Kenyon</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Treasurer, Secretary and Director (</w:t>
            </w:r>
            <w:r>
              <w:rPr>
                <w:rFonts w:ascii="Times New Roman;Times;Serif" w:hAnsi="Times New Roman;Times;Serif"/>
                <w:i/>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Faisal G. Sukhtian</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Ralph H. Thurman</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Gerd Auffarth</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Julian Gangolli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Yezan Haddadin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Kurt J. Hilzinger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r>
        <w:trPr/>
        <w:tc>
          <w:tcPr>
            <w:tcW w:w="16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left"/>
              <w:rPr/>
            </w:pPr>
            <w:r>
              <w:rPr/>
              <w:t> </w:t>
            </w:r>
          </w:p>
        </w:tc>
      </w:tr>
      <w:tr>
        <w:trPr/>
        <w:tc>
          <w:tcPr>
            <w:tcW w:w="167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Andong Huang</w:t>
            </w:r>
          </w:p>
        </w:tc>
        <w:tc>
          <w:tcPr>
            <w:tcW w:w="60" w:type="dxa"/>
            <w:tcBorders/>
            <w:tcMar>
              <w:bottom w:w="0" w:type="dxa"/>
            </w:tcMar>
            <w:vAlign w:val="center"/>
          </w:tcPr>
          <w:p>
            <w:pPr>
              <w:pStyle w:val="TableContents"/>
              <w:bidi w:val="0"/>
              <w:spacing w:before="0" w:after="283"/>
              <w:jc w:val="left"/>
              <w:rPr/>
            </w:pPr>
            <w:r>
              <w:rPr/>
              <w:t> </w:t>
            </w:r>
          </w:p>
        </w:tc>
        <w:tc>
          <w:tcPr>
            <w:tcW w:w="7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54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
              <w: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49989/000110465925123264/otlk-20250930x10k.htm" TargetMode="External"/><Relationship Id="rId4" Type="http://schemas.openxmlformats.org/officeDocument/2006/relationships/hyperlink" Target="https://www.sec.gov/ix?doc=/Archives/edgar/data/0001649989/000110465925123264/otlk-20250930x10k.htm" TargetMode="External"/><Relationship Id="rId5" Type="http://schemas.openxmlformats.org/officeDocument/2006/relationships/hyperlink" Target="https://www.sec.gov/ix?doc=/Archives/edgar/data/0001649989/000110465926047741/tm2612578d1_8k.htm" TargetMode="External"/><Relationship Id="rId6" Type="http://schemas.openxmlformats.org/officeDocument/2006/relationships/hyperlink" Target="https://www.sec.gov/ix?doc=/Archives/edgar/data/0001649989/000110465925123264/otlk-20250930x10k.htm" TargetMode="External"/><Relationship Id="rId7" Type="http://schemas.openxmlformats.org/officeDocument/2006/relationships/hyperlink" Target="https://www.sec.gov/ix?doc=/Archives/edgar/data/0001649989/000110465925123264/otlk-20250930x10k.htm" TargetMode="External"/><Relationship Id="rId8" Type="http://schemas.openxmlformats.org/officeDocument/2006/relationships/hyperlink" Target="https://www.sec.gov/ix?doc=/Archives/edgar/data/1649989/000110465925123264/otlk-20250930x10k.htm" TargetMode="External"/><Relationship Id="rId9" Type="http://schemas.openxmlformats.org/officeDocument/2006/relationships/hyperlink" Target="https://www.sec.gov/ix?doc=/Archives/edgar/data/0001649989/000114036126002406/ny20058729x1_def14a.htm" TargetMode="External"/><Relationship Id="rId10" Type="http://schemas.openxmlformats.org/officeDocument/2006/relationships/hyperlink" Target="https://www.sec.gov/ix?doc=/Archives/edgar/data/0001649989/000110465926016554/otlk-20251231x10q.htm" TargetMode="External"/><Relationship Id="rId11" Type="http://schemas.openxmlformats.org/officeDocument/2006/relationships/hyperlink" Target="https://www.sec.gov/ix?doc=/Archives/edgar/data/0001649989/000110465926062632/otlk-20260331x10q.htm" TargetMode="External"/><Relationship Id="rId12" Type="http://schemas.openxmlformats.org/officeDocument/2006/relationships/hyperlink" Target="https://www.sec.gov/ix?doc=/Archives/edgar/data/0001649989/000110465925105633/tm2530088d1_8k.htm" TargetMode="External"/><Relationship Id="rId13" Type="http://schemas.openxmlformats.org/officeDocument/2006/relationships/hyperlink" Target="https://www.sec.gov/ix?doc=/Archives/edgar/data/0001649989/000110465925111316/tm2531109d1_8k.htm" TargetMode="External"/><Relationship Id="rId14" Type="http://schemas.openxmlformats.org/officeDocument/2006/relationships/hyperlink" Target="https://www.sec.gov/ix?doc=/Archives/edgar/data/0001649989/000110465926000066/tm2534608d1_8k.htm" TargetMode="External"/><Relationship Id="rId15" Type="http://schemas.openxmlformats.org/officeDocument/2006/relationships/hyperlink" Target="https://www.sec.gov/ix?doc=/Archives/edgar/data/0001649989/000110465926013470/tm265994d1_8k.htm" TargetMode="External"/><Relationship Id="rId16" Type="http://schemas.openxmlformats.org/officeDocument/2006/relationships/hyperlink" Target="https://www.sec.gov/ix?doc=/Archives/edgar/data/0001649989/000110465926017118/tm266772d1_8k.htm" TargetMode="External"/><Relationship Id="rId17" Type="http://schemas.openxmlformats.org/officeDocument/2006/relationships/hyperlink" Target="https://www.sec.gov/ix?doc=/Archives/edgar/data/0001649989/000110465926024189/tm268164d1_8k.htm" TargetMode="External"/><Relationship Id="rId18" Type="http://schemas.openxmlformats.org/officeDocument/2006/relationships/hyperlink" Target="https://www.sec.gov/ix?doc=/Archives/edgar/data/0001649989/000110465926025893/tm268371d2_8k.htm" TargetMode="External"/><Relationship Id="rId19" Type="http://schemas.openxmlformats.org/officeDocument/2006/relationships/hyperlink" Target="https://www.sec.gov/ix?doc=/Archives/edgar/data/0001649989/000110465926026465/tm268371d1_8k.htm" TargetMode="External"/><Relationship Id="rId20" Type="http://schemas.openxmlformats.org/officeDocument/2006/relationships/hyperlink" Target="https://www.sec.gov/ix?doc=/Archives/edgar/data/0001649989/000110465926028103/tm268874d1_8k.htm" TargetMode="External"/><Relationship Id="rId21" Type="http://schemas.openxmlformats.org/officeDocument/2006/relationships/hyperlink" Target="https://www.sec.gov/ix?doc=/Archives/edgar/data/0001649989/000110465926034601/tm269822d1_8k.htm" TargetMode="External"/><Relationship Id="rId22" Type="http://schemas.openxmlformats.org/officeDocument/2006/relationships/hyperlink" Target="https://www.sec.gov/ix?doc=/Archives/edgar/data/0001649989/000110465926040387/tm2611268d1_8k.htm" TargetMode="External"/><Relationship Id="rId23" Type="http://schemas.openxmlformats.org/officeDocument/2006/relationships/hyperlink" Target="https://www.sec.gov/ix?doc=/Archives/edgar/data/0001649989/000110465926046014/tm2612353d1_8k.htm" TargetMode="External"/><Relationship Id="rId24" Type="http://schemas.openxmlformats.org/officeDocument/2006/relationships/hyperlink" Target="https://www.sec.gov/ix?doc=/Archives/edgar/data/0001649989/000110465926047741/tm2612578d1_8k.htm" TargetMode="External"/><Relationship Id="rId25" Type="http://schemas.openxmlformats.org/officeDocument/2006/relationships/hyperlink" Target="https://www.sec.gov/ix?doc=/Archives/edgar/data/0001649989/000110465926060305/tm2614480d1_8k.htm" TargetMode="External"/><Relationship Id="rId26" Type="http://schemas.openxmlformats.org/officeDocument/2006/relationships/hyperlink" Target="https://www.sec.gov/ix?doc=/Archives/edgar/data/0001649989/000110465926065992/tm2615583d1_8k.htm" TargetMode="External"/><Relationship Id="rId27" Type="http://schemas.openxmlformats.org/officeDocument/2006/relationships/hyperlink" Target="https://www.sec.gov/ix?doc=/Archives/edgar/data/0001649989/000110465926067614/tm2615925d1_8k.htm" TargetMode="External"/><Relationship Id="rId28" Type="http://schemas.openxmlformats.org/officeDocument/2006/relationships/hyperlink" Target="https://www.sec.gov/ix?doc=/Archives/edgar/data/0001649989/000110465926068306/tm2615979d1_8k.htm" TargetMode="External"/><Relationship Id="rId29" Type="http://schemas.openxmlformats.org/officeDocument/2006/relationships/hyperlink" Target="https://www.sec.gov/ix?doc=/Archives/edgar/data/0001649989/000110465926068659/tm2616461d1_8k.htm" TargetMode="External"/><Relationship Id="rId30" Type="http://schemas.openxmlformats.org/officeDocument/2006/relationships/hyperlink" Target="https://www.sec.gov/ix?doc=/Archives/edgar/data/0001649989/000110465926074346/tm2618010d1_8k.htm" TargetMode="External"/><Relationship Id="rId31" Type="http://schemas.openxmlformats.org/officeDocument/2006/relationships/hyperlink" Target="https://www.sec.gov/ix?doc=/Archives/edgar/data/1649989/000110465926078337/tm2619105d1_8k.htm" TargetMode="External"/><Relationship Id="rId32" Type="http://schemas.openxmlformats.org/officeDocument/2006/relationships/hyperlink" Target="https://www.sec.gov/Archives/edgar/data/1649989/000157104916014572/t1601167_8a.htm" TargetMode="External"/><Relationship Id="rId33" Type="http://schemas.openxmlformats.org/officeDocument/2006/relationships/hyperlink" Target="https://www.sec.gov/Archives/edgar/data/1649989/000157104916015100/t1601309_8a.htm" TargetMode="External"/><Relationship Id="rId34" Type="http://schemas.openxmlformats.org/officeDocument/2006/relationships/hyperlink" Target="https://www.sec.gov/Archives/edgar/data/1649989/000110465925123264/otlk-20250930xex4d1.htm" TargetMode="External"/><Relationship Id="rId35" Type="http://schemas.openxmlformats.org/officeDocument/2006/relationships/hyperlink" Target="https://www.sec.gov/Archives/edgar/data/1649989/000155837024008318/otlk-20240331xex3d1.htm" TargetMode="External"/><Relationship Id="rId36" Type="http://schemas.openxmlformats.org/officeDocument/2006/relationships/hyperlink" Target="https://www.sec.gov/Archives/edgar/data/1649989/000155837025003013/otlk-20250311xex3d1.htm" TargetMode="External"/><Relationship Id="rId37" Type="http://schemas.openxmlformats.org/officeDocument/2006/relationships/hyperlink" Target="https://www.sec.gov/Archives/edgar/data/1649989/000110465921042442/tm2110800d1_ex3-2.htm" TargetMode="External"/><Relationship Id="rId38" Type="http://schemas.openxmlformats.org/officeDocument/2006/relationships/hyperlink" Target="https://www.sec.gov/Archives/edgar/data/1649989/000110465926047741/tm2612578d1_ex10-1.htm" TargetMode="External"/><Relationship Id="rId39" Type="http://schemas.openxmlformats.org/officeDocument/2006/relationships/hyperlink" Target="https://www.sec.gov/Archives/edgar/data/1649989/000110465926047741/tm2612578d1_ex4-1.htm" TargetMode="External"/><Relationship Id="rId40" Type="http://schemas.openxmlformats.org/officeDocument/2006/relationships/hyperlink" Target="https://www.sec.gov/Archives/edgar/data/1649989/000110465926047741/tm2612578d1_ex4-2.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12223</Words>
  <Characters>65785</Characters>
  <CharactersWithSpaces>78214</CharactersWithSpaces>
  <Paragraphs>1052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