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281-2_424b5.htm"/>
        <w:bookmarkStart w:id="1" w:name="kstm26222812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00" w:before="557" w:after="437"/>
        <w:ind w:left="540" w:right="0" w:hanging="0"/>
        <w:jc w:val="right"/>
        <w:rPr>
          <w:caps w:val="false"/>
          <w:smallCaps w:val="false"/>
          <w:color w:val="596E80"/>
        </w:rPr>
      </w:pPr>
      <w:r>
        <w:rPr>
          <w:caps w:val="false"/>
          <w:smallCaps w:val="false"/>
          <w:color w:val="596E80"/>
        </w:rPr>
        <w:t> </w:t>
      </w:r>
      <w:r>
        <w:rPr>
          <w:rFonts w:ascii="Times New Roman;Times;serif" w:hAnsi="Times New Roman;Times;serif"/>
          <w:b/>
          <w:i w:val="false"/>
          <w:caps w:val="false"/>
          <w:smallCaps w:val="false"/>
          <w:color w:val="596E80"/>
          <w:sz w:val="20"/>
        </w:rPr>
        <w:t>As Filed Pursuant to Rule 424(b)(5)​</w:t>
      </w:r>
    </w:p>
    <w:p>
      <w:pPr>
        <w:pStyle w:val="TextBody"/>
        <w:bidi w:val="0"/>
        <w:spacing w:lineRule="atLeast" w:line="200" w:before="557" w:after="437"/>
        <w:jc w:val="right"/>
        <w:rPr>
          <w:caps w:val="false"/>
          <w:smallCaps w:val="false"/>
          <w:color w:val="596E80"/>
        </w:rPr>
      </w:pPr>
      <w:r>
        <w:rPr>
          <w:caps w:val="false"/>
          <w:smallCaps w:val="false"/>
          <w:color w:val="596E80"/>
        </w:rPr>
        <w:t> </w:t>
      </w:r>
      <w:r>
        <w:rPr>
          <w:rFonts w:ascii="Times New Roman;Times;serif" w:hAnsi="Times New Roman;Times;serif"/>
          <w:b/>
          <w:i w:val="false"/>
          <w:caps w:val="false"/>
          <w:smallCaps w:val="false"/>
          <w:color w:val="596E80"/>
          <w:sz w:val="20"/>
        </w:rPr>
        <w:t>Registration No. 333-278340​</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 xml:space="preserve">PROSPECTUS SUPPLEMENT </w:t>
        <w:br/>
        <w:t>(To Prospectus Dated April 5, 2024)</w:t>
      </w:r>
      <w:r>
        <w:rPr>
          <w:rFonts w:ascii="Times New Roman;Times;serif" w:hAnsi="Times New Roman;Times;serif"/>
          <w:b/>
          <w:i w:val="false"/>
          <w:caps w:val="false"/>
          <w:smallCaps w:val="false"/>
          <w:color w:val="596E80"/>
          <w:spacing w:val="4"/>
          <w:sz w:val="20"/>
        </w:rPr>
        <w:t xml:space="preserve"> </w:t>
      </w:r>
    </w:p>
    <w:p>
      <w:pPr>
        <w:pStyle w:val="TextBody"/>
        <w:bidi w:val="0"/>
        <w:spacing w:before="80" w:after="283"/>
        <w:jc w:val="center"/>
        <w:rPr>
          <w:caps w:val="false"/>
          <w:smallCaps w:val="false"/>
          <w:color w:val="596E80"/>
        </w:rPr>
      </w:pPr>
      <w:r>
        <w:rPr>
          <w:caps w:val="false"/>
          <w:smallCaps w:val="false"/>
          <w:color w:val="596E80"/>
        </w:rPr>
        <w:drawing>
          <wp:inline distT="0" distB="0" distL="0" distR="0">
            <wp:extent cx="342900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0" cy="942975"/>
                    </a:xfrm>
                    <a:prstGeom prst="rect">
                      <a:avLst/>
                    </a:prstGeom>
                  </pic:spPr>
                </pic:pic>
              </a:graphicData>
            </a:graphic>
          </wp:inline>
        </w:drawing>
      </w:r>
      <w:r>
        <w:rPr>
          <w:caps w:val="false"/>
          <w:smallCaps w:val="false"/>
          <w:color w:val="596E80"/>
        </w:rPr>
        <w:t xml:space="preserve"> </w:t>
      </w:r>
    </w:p>
    <w:p>
      <w:pPr>
        <w:pStyle w:val="TextBody"/>
        <w:bidi w:val="0"/>
        <w:spacing w:lineRule="atLeast" w:line="360" w:before="570" w:after="283"/>
        <w:jc w:val="center"/>
        <w:rPr>
          <w:rFonts w:ascii="Times New Roman;Times;serif" w:hAnsi="Times New Roman;Times;serif"/>
          <w:b/>
          <w:i w:val="false"/>
          <w:caps w:val="false"/>
          <w:smallCaps w:val="false"/>
          <w:color w:val="596E80"/>
          <w:sz w:val="32"/>
        </w:rPr>
      </w:pPr>
      <w:r>
        <w:rPr>
          <w:rFonts w:ascii="Times New Roman;Times;serif" w:hAnsi="Times New Roman;Times;serif"/>
          <w:b/>
          <w:i w:val="false"/>
          <w:caps w:val="false"/>
          <w:smallCaps w:val="false"/>
          <w:color w:val="596E80"/>
          <w:sz w:val="32"/>
        </w:rPr>
        <w:t>55,555,556 Shares of Common Stock</w:t>
        <w:br/>
        <w:t>Warrants to Purchase 55,555,556 Shares of Common Stock</w:t>
      </w:r>
      <w:r>
        <w:rPr>
          <w:rFonts w:ascii="Times New Roman;Times;serif" w:hAnsi="Times New Roman;Times;serif"/>
          <w:b/>
          <w:i w:val="false"/>
          <w:caps w:val="false"/>
          <w:smallCaps w:val="false"/>
          <w:color w:val="596E80"/>
          <w:spacing w:val="6"/>
          <w:sz w:val="32"/>
        </w:rPr>
        <w:t xml:space="preserve"> </w:t>
      </w:r>
    </w:p>
    <w:p>
      <w:pPr>
        <w:pStyle w:val="TextBody"/>
        <w:bidi w:val="0"/>
        <w:spacing w:before="0" w:after="283"/>
        <w:ind w:left="540"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10" w:before="70" w:after="283"/>
        <w:jc w:val="left"/>
        <w:rPr>
          <w:rFonts w:ascii="Times New Roman;Times;serif" w:hAnsi="Times New Roman;Times;serif"/>
          <w:b w:val="false"/>
          <w:i w:val="false"/>
          <w:caps w:val="false"/>
          <w:smallCaps w:val="false"/>
          <w:color w:val="596E80"/>
          <w:sz w:val="19"/>
        </w:rPr>
      </w:pPr>
      <w:r>
        <w:rPr>
          <w:rFonts w:ascii="Times New Roman;Times;serif" w:hAnsi="Times New Roman;Times;serif"/>
          <w:b w:val="false"/>
          <w:i w:val="false"/>
          <w:caps w:val="false"/>
          <w:smallCaps w:val="false"/>
          <w:color w:val="596E80"/>
          <w:sz w:val="19"/>
        </w:rPr>
        <w:t>We are offering (i) 55,555,556 shares of our common stock, par value $0.01 per share and (ii) accompanying warrants, or the purchase warrants, to purchase up to an aggregate of 55,555,556 shares of our common stock (and the shares of common stock issuable from time to time upon exercise of each of the purchase warrants), pursuant to this prospectus supplement and the accompanying prospectus at a combined public offering price of  $0.99. Each share of common stock will be sold in combination with an accompanying purchase warrant to purchase one share of common stock issued for each share of common stock sold. The shares of our common stock and purchase warrants are immediately separable and will be issued separately. The purchase warrants will be exercisable immediately and will expire five years from the date of issuance. The purchase warrants will have an exercise price of  $1.10 per whole share of our common stock, subject to adjustment as described elsewhere in this prospectus supplement.</w:t>
      </w:r>
    </w:p>
    <w:p>
      <w:pPr>
        <w:pStyle w:val="TextBody"/>
        <w:bidi w:val="0"/>
        <w:spacing w:lineRule="atLeast" w:line="210" w:before="40" w:after="283"/>
        <w:jc w:val="left"/>
        <w:rPr>
          <w:rFonts w:ascii="Times New Roman;Times;serif" w:hAnsi="Times New Roman;Times;serif"/>
          <w:b w:val="false"/>
          <w:i w:val="false"/>
          <w:caps w:val="false"/>
          <w:smallCaps w:val="false"/>
          <w:color w:val="596E80"/>
          <w:sz w:val="19"/>
        </w:rPr>
      </w:pPr>
      <w:r>
        <w:rPr>
          <w:rFonts w:ascii="Times New Roman;Times;serif" w:hAnsi="Times New Roman;Times;serif"/>
          <w:b w:val="false"/>
          <w:i w:val="false"/>
          <w:caps w:val="false"/>
          <w:smallCaps w:val="false"/>
          <w:color w:val="596E80"/>
          <w:sz w:val="19"/>
        </w:rPr>
        <w:t>Our common stock is traded on The Nasdaq Capital Market under the symbol “OTLK.” On August 12, 2026, the last reported sale price of our common stock was $1.10 per share. There is no established public trading market for the purchase warrants and we do not expect a market to develop. In addition, we do not intend to apply for listing of the purchase warrants on any securities exchange or recognized trading system.</w:t>
      </w:r>
    </w:p>
    <w:p>
      <w:pPr>
        <w:pStyle w:val="TextBody"/>
        <w:bidi w:val="0"/>
        <w:spacing w:lineRule="atLeast" w:line="210" w:before="40" w:after="283"/>
        <w:jc w:val="left"/>
        <w:rPr>
          <w:rFonts w:ascii="Times New Roman;Times;serif" w:hAnsi="Times New Roman;Times;serif"/>
          <w:b w:val="false"/>
          <w:i w:val="false"/>
          <w:caps w:val="false"/>
          <w:smallCaps w:val="false"/>
          <w:color w:val="596E80"/>
          <w:sz w:val="19"/>
        </w:rPr>
      </w:pPr>
      <w:r>
        <w:rPr>
          <w:rFonts w:ascii="Times New Roman;Times;serif" w:hAnsi="Times New Roman;Times;serif"/>
          <w:b w:val="false"/>
          <w:i w:val="false"/>
          <w:caps w:val="false"/>
          <w:smallCaps w:val="false"/>
          <w:color w:val="596E80"/>
          <w:sz w:val="19"/>
        </w:rPr>
        <w:t>We are a “smaller reporting company” under the federal securities laws and are subject to reduced public company reporting requirements. See the section entitled “Prospectus Supplement Summary— Implications of Being a Smaller Reporting Company.”</w:t>
      </w:r>
      <w:r>
        <w:rPr>
          <w:rFonts w:ascii="Times New Roman;Times;serif" w:hAnsi="Times New Roman;Times;serif"/>
          <w:b w:val="false"/>
          <w:i w:val="false"/>
          <w:caps w:val="false"/>
          <w:smallCaps w:val="false"/>
          <w:color w:val="596E80"/>
          <w:spacing w:val="4"/>
          <w:sz w:val="19"/>
        </w:rPr>
        <w:t xml:space="preserve"> </w:t>
      </w:r>
    </w:p>
    <w:p>
      <w:pPr>
        <w:pStyle w:val="TextBody"/>
        <w:bidi w:val="0"/>
        <w:spacing w:lineRule="atLeast" w:line="210" w:before="40" w:after="283"/>
        <w:jc w:val="left"/>
        <w:rPr/>
      </w:pPr>
      <w:r>
        <w:rPr>
          <w:rFonts w:ascii="Times New Roman;Times;serif" w:hAnsi="Times New Roman;Times;serif"/>
          <w:b/>
          <w:i w:val="false"/>
          <w:caps w:val="false"/>
          <w:smallCaps w:val="false"/>
          <w:color w:val="596E80"/>
          <w:sz w:val="19"/>
        </w:rPr>
        <w:t xml:space="preserve">Investing in our securities involves a high degree of risk. Before making an investment decision, please read the information in “Risk Factors” beginning on page </w:t>
      </w:r>
      <w:hyperlink w:anchor="sRIFA">
        <w:r>
          <w:rPr>
            <w:rStyle w:val="InternetLink"/>
          </w:rPr>
          <w:t>S-7</w:t>
        </w:r>
      </w:hyperlink>
      <w:r>
        <w:rPr>
          <w:rFonts w:ascii="Times New Roman;Times;serif" w:hAnsi="Times New Roman;Times;serif"/>
          <w:b/>
          <w:i w:val="false"/>
          <w:caps w:val="false"/>
          <w:smallCaps w:val="false"/>
          <w:color w:val="596E80"/>
          <w:sz w:val="19"/>
        </w:rPr>
        <w:t xml:space="preserve"> of this prospectus supplement and in our filings incorporated by reference into this prospectus supplement and the accompanying prospectus.</w:t>
      </w:r>
      <w:r>
        <w:rPr>
          <w:rFonts w:ascii="Times New Roman;Times;serif" w:hAnsi="Times New Roman;Times;serif"/>
          <w:b/>
          <w:i w:val="false"/>
          <w:caps w:val="false"/>
          <w:smallCaps w:val="false"/>
          <w:color w:val="596E80"/>
          <w:spacing w:val="4"/>
          <w:sz w:val="19"/>
        </w:rPr>
        <w:t xml:space="preserve"> </w:t>
      </w:r>
    </w:p>
    <w:p>
      <w:pPr>
        <w:pStyle w:val="TextBody"/>
        <w:bidi w:val="0"/>
        <w:spacing w:lineRule="atLeast" w:line="210" w:before="40" w:after="283"/>
        <w:jc w:val="left"/>
        <w:rPr>
          <w:rFonts w:ascii="Times New Roman;Times;serif" w:hAnsi="Times New Roman;Times;serif"/>
          <w:b/>
          <w:i w:val="false"/>
          <w:caps w:val="false"/>
          <w:smallCaps w:val="false"/>
          <w:color w:val="596E80"/>
          <w:sz w:val="19"/>
        </w:rPr>
      </w:pPr>
      <w:r>
        <w:rPr>
          <w:rFonts w:ascii="Times New Roman;Times;serif" w:hAnsi="Times New Roman;Times;serif"/>
          <w:b/>
          <w:i w:val="false"/>
          <w:caps w:val="false"/>
          <w:smallCaps w:val="false"/>
          <w:color w:val="596E80"/>
          <w:sz w:val="19"/>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596E80"/>
          <w:spacing w:val="4"/>
          <w:sz w:val="19"/>
        </w:rPr>
        <w:t xml:space="preserve"> </w:t>
      </w:r>
    </w:p>
    <w:p>
      <w:pPr>
        <w:pStyle w:val="TextBody"/>
        <w:bidi w:val="0"/>
        <w:spacing w:before="0" w:after="283"/>
        <w:ind w:left="540"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before="0" w:after="283"/>
        <w:ind w:left="540" w:right="0" w:hanging="0"/>
        <w:jc w:val="left"/>
        <w:rPr>
          <w:caps w:val="false"/>
          <w:smallCaps w:val="false"/>
          <w:color w:val="596E80"/>
          <w:bdr w:val="single" w:sz="8" w:space="1" w:color="596E80"/>
        </w:rPr>
      </w:pPr>
      <w:r>
        <w:rPr>
          <w:caps w:val="false"/>
          <w:smallCaps w:val="false"/>
          <w:color w:val="596E80"/>
          <w:bdr w:val="single" w:sz="8" w:space="1" w:color="596E80"/>
        </w:rPr>
        <w:t>​</w:t>
      </w:r>
    </w:p>
    <w:tbl>
      <w:tblPr>
        <w:tblW w:w="8387" w:type="dxa"/>
        <w:jc w:val="left"/>
        <w:tblInd w:w="540" w:type="dxa"/>
        <w:tblLayout w:type="fixed"/>
        <w:tblCellMar>
          <w:top w:w="0" w:type="dxa"/>
          <w:left w:w="0" w:type="dxa"/>
          <w:bottom w:w="28" w:type="dxa"/>
          <w:right w:w="0" w:type="dxa"/>
        </w:tblCellMar>
      </w:tblPr>
      <w:tblGrid>
        <w:gridCol w:w="4246"/>
        <w:gridCol w:w="109"/>
        <w:gridCol w:w="109"/>
        <w:gridCol w:w="140"/>
        <w:gridCol w:w="291"/>
        <w:gridCol w:w="988"/>
        <w:gridCol w:w="142"/>
        <w:gridCol w:w="109"/>
        <w:gridCol w:w="109"/>
        <w:gridCol w:w="109"/>
        <w:gridCol w:w="226"/>
        <w:gridCol w:w="1546"/>
        <w:gridCol w:w="109"/>
        <w:gridCol w:w="154"/>
      </w:tblGrid>
      <w:tr>
        <w:trPr/>
        <w:tc>
          <w:tcPr>
            <w:tcW w:w="42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1" w:type="dxa"/>
            <w:gridSpan w:val="4"/>
            <w:tcBorders>
              <w:bottom w:val="single" w:sz="2" w:space="0" w:color="596E80"/>
            </w:tcBorders>
            <w:vAlign w:val="center"/>
          </w:tcPr>
          <w:p>
            <w:pPr>
              <w:pStyle w:val="TableContents"/>
              <w:bidi w:val="0"/>
              <w:spacing w:before="0" w:after="0"/>
              <w:jc w:val="center"/>
              <w:rPr/>
            </w:pPr>
            <w:r>
              <w:rPr/>
              <w:t>Per Share</w:t>
              <w:br/>
              <w:t>and</w:t>
              <w:br/>
              <w:t>Accompanying</w:t>
              <w:br/>
              <w:t>Purchase</w:t>
              <w:br/>
              <w:t>Warrant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0" w:type="dxa"/>
            <w:gridSpan w:val="4"/>
            <w:tcBorders>
              <w:bottom w:val="single" w:sz="2" w:space="0" w:color="596E80"/>
            </w:tcBorders>
            <w:vAlign w:val="center"/>
          </w:tcPr>
          <w:p>
            <w:pPr>
              <w:pStyle w:val="TableContents"/>
              <w:bidi w:val="0"/>
              <w:spacing w:before="0" w:after="0"/>
              <w:jc w:val="center"/>
              <w:rPr/>
            </w:pPr>
            <w:r>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46" w:type="dxa"/>
            <w:tcBorders/>
            <w:shd w:fill="CCEEFF" w:val="clear"/>
            <w:tcMar>
              <w:bottom w:w="0" w:type="dxa"/>
            </w:tcMar>
            <w:vAlign w:val="center"/>
          </w:tcPr>
          <w:p>
            <w:pPr>
              <w:pStyle w:val="TableContents"/>
              <w:bidi w:val="0"/>
              <w:spacing w:before="0" w:after="0"/>
              <w:jc w:val="left"/>
              <w:rPr/>
            </w:pPr>
            <w:r>
              <w:rPr/>
              <w:t xml:space="preserve">Combined 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1"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 xml:space="preserve">0.9900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 xml:space="preserve">55,000,000.44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6" w:type="dxa"/>
            <w:tcBorders/>
            <w:tcMar>
              <w:bottom w:w="0" w:type="dxa"/>
            </w:tcMar>
            <w:vAlign w:val="center"/>
          </w:tcPr>
          <w:p>
            <w:pPr>
              <w:pStyle w:val="TableContents"/>
              <w:bidi w:val="0"/>
              <w:spacing w:before="0" w:after="0"/>
              <w:jc w:val="left"/>
              <w:rPr/>
            </w:pPr>
            <w:r>
              <w:rPr/>
              <w:t>Underwriting discounts and commissions</w:t>
            </w:r>
            <w:r>
              <w:rPr>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1"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 xml:space="preserve">0.0594 </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46" w:type="dxa"/>
            <w:tcBorders/>
            <w:tcMar>
              <w:bottom w:w="0" w:type="dxa"/>
            </w:tcMar>
            <w:vAlign w:val="center"/>
          </w:tcPr>
          <w:p>
            <w:pPr>
              <w:pStyle w:val="TableContents"/>
              <w:bidi w:val="0"/>
              <w:spacing w:before="0" w:after="283"/>
              <w:jc w:val="right"/>
              <w:rPr/>
            </w:pPr>
            <w:r>
              <w:rPr/>
              <w:t xml:space="preserve">3,300,000.03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6" w:type="dxa"/>
            <w:tcBorders/>
            <w:shd w:fill="CCEEFF" w:val="clear"/>
            <w:tcMar>
              <w:bottom w:w="0" w:type="dxa"/>
            </w:tcMar>
            <w:vAlign w:val="center"/>
          </w:tcPr>
          <w:p>
            <w:pPr>
              <w:pStyle w:val="TableContents"/>
              <w:bidi w:val="0"/>
              <w:spacing w:before="0" w:after="0"/>
              <w:jc w:val="left"/>
              <w:rPr/>
            </w:pPr>
            <w:r>
              <w:rPr/>
              <w:t xml:space="preserve">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1"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 xml:space="preserve">0.9306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51,700,000.41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before="0" w:after="283"/>
        <w:ind w:left="540"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180" w:before="110" w:after="0"/>
        <w:ind w:left="740" w:right="0" w:hanging="0"/>
        <w:jc w:val="left"/>
        <w:rPr>
          <w:rFonts w:ascii="Times New Roman;Times;serif" w:hAnsi="Times New Roman;Times;serif"/>
          <w:b w:val="false"/>
          <w:i w:val="false"/>
          <w:caps w:val="false"/>
          <w:smallCaps w:val="false"/>
          <w:color w:val="596E80"/>
          <w:sz w:val="16"/>
        </w:rPr>
      </w:pPr>
      <w:r>
        <w:rPr>
          <w:rFonts w:ascii="Times New Roman;Times;serif" w:hAnsi="Times New Roman;Times;serif"/>
          <w:b w:val="false"/>
          <w:i w:val="false"/>
          <w:caps w:val="false"/>
          <w:smallCaps w:val="false"/>
          <w:color w:val="596E80"/>
          <w:sz w:val="16"/>
        </w:rPr>
        <w:t>See the section titled “Underwriting” for additional information regarding compensation payable to the underwriters.</w:t>
      </w:r>
      <w:r>
        <w:rPr>
          <w:rFonts w:ascii="Times New Roman;Times;serif" w:hAnsi="Times New Roman;Times;serif"/>
          <w:b w:val="false"/>
          <w:i w:val="false"/>
          <w:caps w:val="false"/>
          <w:smallCaps w:val="false"/>
          <w:color w:val="596E80"/>
          <w:spacing w:val="3"/>
          <w:sz w:val="16"/>
        </w:rPr>
        <w:t xml:space="preserve"> </w:t>
      </w:r>
      <w:r>
        <mc:AlternateContent>
          <mc:Choice Requires="wps">
            <w:drawing>
              <wp:anchor behindDoc="0" distT="82550" distB="0" distL="0" distR="0" simplePos="0" locked="0" layoutInCell="1" allowOverlap="1" relativeHeight="2">
                <wp:simplePos x="0" y="0"/>
                <wp:positionH relativeFrom="column">
                  <wp:align>left</wp:align>
                </wp:positionH>
                <wp:positionV relativeFrom="line">
                  <wp:align>top</wp:align>
                </wp:positionV>
                <wp:extent cx="127000" cy="233680"/>
                <wp:effectExtent l="0" t="0" r="0" b="0"/>
                <wp:wrapSquare wrapText="right"/>
                <wp:docPr id="2" name="Frame1"/>
                <a:graphic xmlns:a="http://schemas.openxmlformats.org/drawingml/2006/main">
                  <a:graphicData uri="http://schemas.microsoft.com/office/word/2010/wordprocessingShape">
                    <wps:wsp>
                      <wps:cNvSpPr txBox="1"/>
                      <wps:spPr>
                        <a:xfrm>
                          <a:off x="0" y="0"/>
                          <a:ext cx="127000" cy="233680"/>
                        </a:xfrm>
                        <a:prstGeom prst="rect"/>
                        <a:solidFill>
                          <a:srgbClr val="FFFFFF"/>
                        </a:solidFill>
                      </wps:spPr>
                      <wps:txbx>
                        <w:txbxContent>
                          <w:p>
                            <w:pPr>
                              <w:pStyle w:val="TextBody"/>
                              <w:bidi w:val="0"/>
                              <w:spacing w:before="0" w:after="283"/>
                              <w:jc w:val="left"/>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0pt;height:18.4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before="0" w:after="283"/>
                        <w:jc w:val="left"/>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596E80"/>
        </w:rPr>
      </w:pPr>
      <w:r>
        <w:rPr>
          <w:caps w:val="false"/>
          <w:smallCaps w:val="false"/>
          <w:color w:val="596E80"/>
        </w:rPr>
        <w:t>​</w:t>
      </w:r>
    </w:p>
    <w:p>
      <w:pPr>
        <w:pStyle w:val="TextBody"/>
        <w:bidi w:val="0"/>
        <w:spacing w:lineRule="atLeast" w:line="210" w:before="120" w:after="283"/>
        <w:jc w:val="left"/>
        <w:rPr>
          <w:rFonts w:ascii="Times New Roman;Times;serif" w:hAnsi="Times New Roman;Times;serif"/>
          <w:b w:val="false"/>
          <w:i w:val="false"/>
          <w:caps w:val="false"/>
          <w:smallCaps w:val="false"/>
          <w:color w:val="596E80"/>
          <w:sz w:val="19"/>
        </w:rPr>
      </w:pPr>
      <w:r>
        <w:rPr>
          <w:rFonts w:ascii="Times New Roman;Times;serif" w:hAnsi="Times New Roman;Times;serif"/>
          <w:b w:val="false"/>
          <w:i w:val="false"/>
          <w:caps w:val="false"/>
          <w:smallCaps w:val="false"/>
          <w:color w:val="596E80"/>
          <w:sz w:val="19"/>
        </w:rPr>
        <w:t>We have granted the underwriters an option for a period of 30 days to purchase up to an additional 8,333,333 shares of common stock at the public offering price allocable to the shares of common stock of $0.98 and/or purchase warrants to purchase up to 8,333,333 shares of common stock at the public offering price allocable to the warrants of $0.01, less the underwriting discounts and commissions.</w:t>
      </w:r>
      <w:r>
        <w:rPr>
          <w:rFonts w:ascii="Times New Roman;Times;serif" w:hAnsi="Times New Roman;Times;serif"/>
          <w:b w:val="false"/>
          <w:i w:val="false"/>
          <w:caps w:val="false"/>
          <w:smallCaps w:val="false"/>
          <w:color w:val="596E80"/>
          <w:spacing w:val="4"/>
          <w:sz w:val="19"/>
        </w:rPr>
        <w:t xml:space="preserve"> </w:t>
      </w:r>
    </w:p>
    <w:p>
      <w:pPr>
        <w:pStyle w:val="TextBody"/>
        <w:bidi w:val="0"/>
        <w:spacing w:lineRule="atLeast" w:line="210" w:before="40" w:after="283"/>
        <w:jc w:val="left"/>
        <w:rPr>
          <w:rFonts w:ascii="Times New Roman;Times;serif" w:hAnsi="Times New Roman;Times;serif"/>
          <w:b w:val="false"/>
          <w:i w:val="false"/>
          <w:caps w:val="false"/>
          <w:smallCaps w:val="false"/>
          <w:color w:val="596E80"/>
          <w:sz w:val="19"/>
        </w:rPr>
      </w:pPr>
      <w:r>
        <w:rPr>
          <w:rFonts w:ascii="Times New Roman;Times;serif" w:hAnsi="Times New Roman;Times;serif"/>
          <w:b w:val="false"/>
          <w:i w:val="false"/>
          <w:caps w:val="false"/>
          <w:smallCaps w:val="false"/>
          <w:color w:val="596E80"/>
          <w:sz w:val="19"/>
        </w:rPr>
        <w:t>The underwriters expect to deliver the securities against payment on or about August 14, 2026.</w:t>
      </w:r>
    </w:p>
    <w:p>
      <w:pPr>
        <w:pStyle w:val="TextBody"/>
        <w:bidi w:val="0"/>
        <w:spacing w:lineRule="atLeast" w:line="210" w:before="40" w:after="283"/>
        <w:jc w:val="left"/>
        <w:rPr>
          <w:rFonts w:ascii="Times New Roman;Times;serif" w:hAnsi="Times New Roman;Times;serif"/>
          <w:b w:val="false"/>
          <w:i w:val="false"/>
          <w:caps w:val="false"/>
          <w:smallCaps w:val="false"/>
          <w:color w:val="596E80"/>
          <w:sz w:val="19"/>
        </w:rPr>
      </w:pPr>
      <w:r>
        <w:rPr>
          <w:rFonts w:ascii="Times New Roman;Times;serif" w:hAnsi="Times New Roman;Times;serif"/>
          <w:b w:val="false"/>
          <w:i w:val="false"/>
          <w:caps w:val="false"/>
          <w:smallCaps w:val="false"/>
          <w:color w:val="596E80"/>
          <w:sz w:val="19"/>
        </w:rPr>
        <w:t>The shares of common stock will be settled via the Depository Trust Company. The purchase warrants will be delivered to purchasers in certificated form.</w:t>
      </w:r>
    </w:p>
    <w:p>
      <w:pPr>
        <w:pStyle w:val="TextBody"/>
        <w:bidi w:val="0"/>
        <w:spacing w:lineRule="atLeast" w:line="210" w:before="120" w:after="283"/>
        <w:jc w:val="center"/>
        <w:rPr>
          <w:rFonts w:ascii="Times New Roman;Times;serif" w:hAnsi="Times New Roman;Times;serif"/>
          <w:b/>
          <w:i/>
          <w:caps w:val="false"/>
          <w:smallCaps w:val="false"/>
          <w:color w:val="596E80"/>
          <w:sz w:val="19"/>
        </w:rPr>
      </w:pPr>
      <w:r>
        <w:rPr>
          <w:rFonts w:ascii="Times New Roman;Times;serif" w:hAnsi="Times New Roman;Times;serif"/>
          <w:b/>
          <w:i/>
          <w:caps w:val="false"/>
          <w:smallCaps w:val="false"/>
          <w:color w:val="596E80"/>
          <w:sz w:val="19"/>
        </w:rPr>
        <w:t>Joint Bookrunning Managers</w:t>
      </w:r>
      <w:r>
        <w:rPr>
          <w:rFonts w:ascii="Times New Roman;Times;serif" w:hAnsi="Times New Roman;Times;serif"/>
          <w:b/>
          <w:i/>
          <w:caps w:val="false"/>
          <w:smallCaps w:val="false"/>
          <w:color w:val="596E80"/>
          <w:spacing w:val="4"/>
          <w:sz w:val="19"/>
        </w:rPr>
        <w:t xml:space="preserve"> </w:t>
      </w:r>
    </w:p>
    <w:p>
      <w:pPr>
        <w:pStyle w:val="TextBody"/>
        <w:bidi w:val="0"/>
        <w:spacing w:lineRule="atLeast" w:line="400" w:before="120" w:after="283"/>
        <w:jc w:val="left"/>
        <w:rPr>
          <w:rFonts w:ascii="Times New Roman;Times;serif" w:hAnsi="Times New Roman;Times;serif"/>
          <w:b/>
          <w:i w:val="false"/>
          <w:caps w:val="false"/>
          <w:smallCaps w:val="false"/>
          <w:color w:val="596E80"/>
          <w:sz w:val="36"/>
        </w:rPr>
      </w:pPr>
      <w:r>
        <w:rPr>
          <w:rFonts w:ascii="Times New Roman;Times;serif" w:hAnsi="Times New Roman;Times;serif"/>
          <w:b/>
          <w:i w:val="false"/>
          <w:caps w:val="false"/>
          <w:smallCaps w:val="false"/>
          <w:color w:val="596E80"/>
          <w:sz w:val="36"/>
        </w:rPr>
        <w:t>Piper Sandler BTIG</w:t>
      </w:r>
      <w:r>
        <w:rPr>
          <w:rFonts w:ascii="Times New Roman;Times;serif" w:hAnsi="Times New Roman;Times;serif"/>
          <w:b/>
          <w:i w:val="false"/>
          <w:caps w:val="false"/>
          <w:smallCaps w:val="false"/>
          <w:color w:val="596E80"/>
          <w:spacing w:val="7"/>
          <w:sz w:val="36"/>
        </w:rPr>
        <w:t xml:space="preserve"> </w:t>
      </w:r>
    </w:p>
    <w:p>
      <w:pPr>
        <w:pStyle w:val="TextBody"/>
        <w:bidi w:val="0"/>
        <w:spacing w:lineRule="atLeast" w:line="210" w:before="120" w:after="283"/>
        <w:jc w:val="center"/>
        <w:rPr>
          <w:rFonts w:ascii="Times New Roman;Times;serif" w:hAnsi="Times New Roman;Times;serif"/>
          <w:b/>
          <w:i/>
          <w:caps w:val="false"/>
          <w:smallCaps w:val="false"/>
          <w:color w:val="596E80"/>
          <w:sz w:val="19"/>
        </w:rPr>
      </w:pPr>
      <w:r>
        <w:rPr>
          <w:rFonts w:ascii="Times New Roman;Times;serif" w:hAnsi="Times New Roman;Times;serif"/>
          <w:b/>
          <w:i/>
          <w:caps w:val="false"/>
          <w:smallCaps w:val="false"/>
          <w:color w:val="596E80"/>
          <w:sz w:val="19"/>
        </w:rPr>
        <w:t>Lead Manager</w:t>
      </w:r>
      <w:r>
        <w:rPr>
          <w:rFonts w:ascii="Times New Roman;Times;serif" w:hAnsi="Times New Roman;Times;serif"/>
          <w:b/>
          <w:i/>
          <w:caps w:val="false"/>
          <w:smallCaps w:val="false"/>
          <w:color w:val="596E80"/>
          <w:spacing w:val="4"/>
          <w:sz w:val="19"/>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596E80"/>
          <w:sz w:val="32"/>
        </w:rPr>
      </w:pPr>
      <w:r>
        <w:rPr>
          <w:rFonts w:ascii="Times New Roman;Times;serif" w:hAnsi="Times New Roman;Times;serif"/>
          <w:b/>
          <w:i w:val="false"/>
          <w:caps w:val="false"/>
          <w:smallCaps w:val="false"/>
          <w:color w:val="596E80"/>
          <w:sz w:val="32"/>
        </w:rPr>
        <w:t>Brookline Capital Markets,</w:t>
      </w:r>
    </w:p>
    <w:p>
      <w:pPr>
        <w:pStyle w:val="TextBody"/>
        <w:bidi w:val="0"/>
        <w:spacing w:lineRule="atLeast" w:line="210" w:before="557" w:after="437"/>
        <w:jc w:val="center"/>
        <w:rPr>
          <w:rFonts w:ascii="Times New Roman;Times;serif" w:hAnsi="Times New Roman;Times;serif"/>
          <w:b/>
          <w:i w:val="false"/>
          <w:caps w:val="false"/>
          <w:smallCaps w:val="false"/>
          <w:color w:val="596E80"/>
          <w:sz w:val="19"/>
        </w:rPr>
      </w:pPr>
      <w:r>
        <w:rPr>
          <w:rFonts w:ascii="Times New Roman;Times;serif" w:hAnsi="Times New Roman;Times;serif"/>
          <w:b/>
          <w:i w:val="false"/>
          <w:caps w:val="false"/>
          <w:smallCaps w:val="false"/>
          <w:color w:val="596E80"/>
          <w:sz w:val="19"/>
        </w:rPr>
        <w:t>a division of Arcadia Securities, LLC</w:t>
      </w:r>
      <w:r>
        <w:rPr>
          <w:rFonts w:ascii="Times New Roman;Times;serif" w:hAnsi="Times New Roman;Times;serif"/>
          <w:b/>
          <w:i w:val="false"/>
          <w:caps w:val="false"/>
          <w:smallCaps w:val="false"/>
          <w:color w:val="596E80"/>
          <w:spacing w:val="4"/>
          <w:sz w:val="19"/>
        </w:rPr>
        <w:t xml:space="preserve"> </w:t>
      </w:r>
    </w:p>
    <w:p>
      <w:pPr>
        <w:pStyle w:val="TextBody"/>
        <w:bidi w:val="0"/>
        <w:spacing w:lineRule="atLeast" w:line="210" w:before="0" w:after="283"/>
        <w:jc w:val="center"/>
        <w:rPr>
          <w:rFonts w:ascii="Times New Roman;Times;serif" w:hAnsi="Times New Roman;Times;serif"/>
          <w:b/>
          <w:i w:val="false"/>
          <w:caps w:val="false"/>
          <w:smallCaps w:val="false"/>
          <w:color w:val="596E80"/>
          <w:sz w:val="19"/>
        </w:rPr>
      </w:pPr>
      <w:r>
        <w:rPr>
          <w:rFonts w:ascii="Times New Roman;Times;serif" w:hAnsi="Times New Roman;Times;serif"/>
          <w:b/>
          <w:i w:val="false"/>
          <w:caps w:val="false"/>
          <w:smallCaps w:val="false"/>
          <w:color w:val="596E80"/>
          <w:sz w:val="19"/>
        </w:rPr>
        <w:t>Prospectus supplement dated August 12, 2026.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596E80"/>
          <w:sz w:val="16"/>
        </w:rPr>
        <w:t>​</w:t>
      </w:r>
      <w:bookmarkStart w:id="3" w:name="TOC2"/>
      <w:bookmarkEnd w:id="3"/>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580"/>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TABLE OF CONTENTS</w:t>
      </w:r>
      <w:r>
        <w:rPr>
          <w:rFonts w:ascii="Times New Roman;Times;serif" w:hAnsi="Times New Roman;Times;serif"/>
          <w:b/>
          <w:i w:val="false"/>
          <w:caps w:val="false"/>
          <w:smallCaps w:val="false"/>
          <w:color w:val="596E80"/>
          <w:spacing w:val="4"/>
          <w:sz w:val="20"/>
        </w:rPr>
        <w:t xml:space="preserve"> </w:t>
      </w:r>
    </w:p>
    <w:tbl>
      <w:tblPr>
        <w:tblW w:w="6596" w:type="dxa"/>
        <w:jc w:val="left"/>
        <w:tblInd w:w="1393" w:type="dxa"/>
        <w:tblLayout w:type="fixed"/>
        <w:tblCellMar>
          <w:top w:w="0" w:type="dxa"/>
          <w:left w:w="0" w:type="dxa"/>
          <w:bottom w:w="28" w:type="dxa"/>
          <w:right w:w="0" w:type="dxa"/>
        </w:tblCellMar>
      </w:tblPr>
      <w:tblGrid>
        <w:gridCol w:w="5281"/>
        <w:gridCol w:w="109"/>
        <w:gridCol w:w="109"/>
        <w:gridCol w:w="109"/>
        <w:gridCol w:w="109"/>
        <w:gridCol w:w="616"/>
        <w:gridCol w:w="109"/>
        <w:gridCol w:w="154"/>
      </w:tblGrid>
      <w:tr>
        <w:trPr/>
        <w:tc>
          <w:tcPr>
            <w:tcW w:w="52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3" w:type="dxa"/>
            <w:gridSpan w:val="4"/>
            <w:tcBorders>
              <w:bottom w:val="single" w:sz="2" w:space="0" w:color="596E80"/>
            </w:tcBorders>
            <w:tcMar>
              <w:bottom w:w="30" w:type="dxa"/>
            </w:tcMar>
            <w:vAlign w:val="center"/>
          </w:tcPr>
          <w:p>
            <w:pPr>
              <w:pStyle w:val="TableContents"/>
              <w:bidi w:val="0"/>
              <w:spacing w:before="0" w:after="0"/>
              <w:jc w:val="center"/>
              <w:rPr/>
            </w:pPr>
            <w:r>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442" w:type="dxa"/>
            <w:gridSpan w:val="7"/>
            <w:tcBorders/>
            <w:tcMar>
              <w:bottom w:w="0" w:type="dxa"/>
            </w:tcMar>
            <w:vAlign w:val="center"/>
          </w:tcPr>
          <w:p>
            <w:pPr>
              <w:pStyle w:val="TableContents"/>
              <w:bidi w:val="0"/>
              <w:spacing w:before="0" w:after="0"/>
              <w:jc w:val="center"/>
              <w:rPr/>
            </w:pPr>
            <w:r>
              <w:rPr/>
              <w:t>PROSPECTUS SUPPLEMENT</w:t>
            </w:r>
          </w:p>
          <w:p>
            <w:pPr>
              <w:pStyle w:val="TableContents"/>
              <w:bidi w:val="0"/>
              <w:spacing w:lineRule="atLeast" w:line="180" w:before="0" w:after="283"/>
              <w:jc w:val="center"/>
              <w:rPr/>
            </w:pP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sATPS">
              <w:r>
                <w:rPr>
                  <w:rStyle w:val="InternetLink"/>
                  <w:color w:val="596E80"/>
                </w:rPr>
                <w:t>A</w:t>
              </w:r>
            </w:hyperlink>
            <w:hyperlink w:anchor="sATPS">
              <w:r>
                <w:rPr>
                  <w:rStyle w:val="InternetLink"/>
                  <w:caps w:val="false"/>
                  <w:smallCaps w:val="false"/>
                  <w:color w:val="596E80"/>
                </w:rPr>
                <w:t>BOUT</w:t>
              </w:r>
            </w:hyperlink>
            <w:hyperlink w:anchor="sATPS">
              <w:r>
                <w:rPr>
                  <w:rStyle w:val="InternetLink"/>
                  <w:color w:val="596E80"/>
                </w:rPr>
                <w:t xml:space="preserve"> T</w:t>
              </w:r>
            </w:hyperlink>
            <w:hyperlink w:anchor="sATPS">
              <w:r>
                <w:rPr>
                  <w:rStyle w:val="InternetLink"/>
                  <w:caps w:val="false"/>
                  <w:smallCaps w:val="false"/>
                  <w:color w:val="596E80"/>
                </w:rPr>
                <w:t>HIS</w:t>
              </w:r>
            </w:hyperlink>
            <w:hyperlink w:anchor="sATPS">
              <w:r>
                <w:rPr>
                  <w:rStyle w:val="InternetLink"/>
                  <w:color w:val="596E80"/>
                </w:rPr>
                <w:t xml:space="preserve"> P</w:t>
              </w:r>
            </w:hyperlink>
            <w:hyperlink w:anchor="sATPS">
              <w:r>
                <w:rPr>
                  <w:rStyle w:val="InternetLink"/>
                  <w:caps w:val="false"/>
                  <w:smallCaps w:val="false"/>
                  <w:color w:val="596E80"/>
                </w:rPr>
                <w:t>ROSPECTUS</w:t>
              </w:r>
            </w:hyperlink>
            <w:hyperlink w:anchor="sATPS">
              <w:r>
                <w:rPr>
                  <w:rStyle w:val="InternetLink"/>
                  <w:color w:val="596E80"/>
                </w:rPr>
                <w:t xml:space="preserve"> S</w:t>
              </w:r>
            </w:hyperlink>
            <w:hyperlink w:anchor="sATPS">
              <w:r>
                <w:rPr>
                  <w:rStyle w:val="InternetLink"/>
                  <w:caps w:val="false"/>
                  <w:smallCaps w:val="false"/>
                  <w:color w:val="596E80"/>
                </w:rPr>
                <w:t>UPPLEMENT</w:t>
              </w:r>
            </w:hyperlink>
            <w:hyperlink w:anchor="sATPS">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hyperlink w:anchor="sATPS">
              <w:r>
                <w:rPr>
                  <w:rStyle w:val="InternetLink"/>
                  <w:color w:val="596E80"/>
                </w:rPr>
                <w:t xml:space="preserve">S-ii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0"/>
              <w:jc w:val="left"/>
              <w:rPr/>
            </w:pPr>
            <w:hyperlink w:anchor="sSNRF">
              <w:r>
                <w:rPr>
                  <w:rStyle w:val="InternetLink"/>
                  <w:color w:val="596E80"/>
                </w:rPr>
                <w:t>S</w:t>
              </w:r>
            </w:hyperlink>
            <w:hyperlink w:anchor="sSNRF">
              <w:r>
                <w:rPr>
                  <w:rStyle w:val="InternetLink"/>
                  <w:caps w:val="false"/>
                  <w:smallCaps w:val="false"/>
                  <w:color w:val="596E80"/>
                </w:rPr>
                <w:t>PECIAL</w:t>
              </w:r>
            </w:hyperlink>
            <w:hyperlink w:anchor="sSNRF">
              <w:r>
                <w:rPr>
                  <w:rStyle w:val="InternetLink"/>
                  <w:color w:val="596E80"/>
                </w:rPr>
                <w:t xml:space="preserve"> N</w:t>
              </w:r>
            </w:hyperlink>
            <w:hyperlink w:anchor="sSNRF">
              <w:r>
                <w:rPr>
                  <w:rStyle w:val="InternetLink"/>
                  <w:caps w:val="false"/>
                  <w:smallCaps w:val="false"/>
                  <w:color w:val="596E80"/>
                </w:rPr>
                <w:t>OTE</w:t>
              </w:r>
            </w:hyperlink>
            <w:hyperlink w:anchor="sSNRF">
              <w:r>
                <w:rPr>
                  <w:rStyle w:val="InternetLink"/>
                  <w:color w:val="596E80"/>
                </w:rPr>
                <w:t xml:space="preserve"> R</w:t>
              </w:r>
            </w:hyperlink>
            <w:hyperlink w:anchor="sSNRF">
              <w:r>
                <w:rPr>
                  <w:rStyle w:val="InternetLink"/>
                  <w:caps w:val="false"/>
                  <w:smallCaps w:val="false"/>
                  <w:color w:val="596E80"/>
                </w:rPr>
                <w:t>EGARDING</w:t>
              </w:r>
            </w:hyperlink>
            <w:hyperlink w:anchor="sSNRF">
              <w:r>
                <w:rPr>
                  <w:rStyle w:val="InternetLink"/>
                  <w:color w:val="596E80"/>
                </w:rPr>
                <w:t xml:space="preserve"> F</w:t>
              </w:r>
            </w:hyperlink>
            <w:hyperlink w:anchor="sSNRF">
              <w:r>
                <w:rPr>
                  <w:rStyle w:val="InternetLink"/>
                  <w:caps w:val="false"/>
                  <w:smallCaps w:val="false"/>
                  <w:color w:val="596E80"/>
                </w:rPr>
                <w:t>ORWARD</w:t>
              </w:r>
            </w:hyperlink>
            <w:hyperlink w:anchor="sSNRF">
              <w:r>
                <w:rPr>
                  <w:rStyle w:val="InternetLink"/>
                  <w:color w:val="596E80"/>
                </w:rPr>
                <w:t>-L</w:t>
              </w:r>
            </w:hyperlink>
            <w:hyperlink w:anchor="sSNRF">
              <w:r>
                <w:rPr>
                  <w:rStyle w:val="InternetLink"/>
                  <w:caps w:val="false"/>
                  <w:smallCaps w:val="false"/>
                  <w:color w:val="596E80"/>
                </w:rPr>
                <w:t>OOKING</w:t>
              </w:r>
            </w:hyperlink>
            <w:hyperlink w:anchor="sSNRF">
              <w:r>
                <w:rPr>
                  <w:rStyle w:val="InternetLink"/>
                  <w:color w:val="596E80"/>
                </w:rPr>
                <w:t xml:space="preserve"> S</w:t>
              </w:r>
            </w:hyperlink>
            <w:hyperlink w:anchor="sSNRF">
              <w:r>
                <w:rPr>
                  <w:rStyle w:val="InternetLink"/>
                  <w:caps w:val="false"/>
                  <w:smallCaps w:val="false"/>
                  <w:color w:val="596E80"/>
                </w:rPr>
                <w:t>TATEMENTS</w:t>
              </w:r>
            </w:hyperlink>
            <w:hyperlink w:anchor="sSNRF">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hyperlink w:anchor="sSNRF">
              <w:r>
                <w:rPr>
                  <w:rStyle w:val="InternetLink"/>
                  <w:color w:val="596E80"/>
                </w:rPr>
                <w:t xml:space="preserve">S-iii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sPSS">
              <w:r>
                <w:rPr>
                  <w:rStyle w:val="InternetLink"/>
                  <w:color w:val="596E80"/>
                </w:rPr>
                <w:t>P</w:t>
              </w:r>
            </w:hyperlink>
            <w:hyperlink w:anchor="sPSS">
              <w:r>
                <w:rPr>
                  <w:rStyle w:val="InternetLink"/>
                  <w:caps w:val="false"/>
                  <w:smallCaps w:val="false"/>
                  <w:color w:val="596E80"/>
                </w:rPr>
                <w:t>ROSPECTUS</w:t>
              </w:r>
            </w:hyperlink>
            <w:hyperlink w:anchor="sPSS">
              <w:r>
                <w:rPr>
                  <w:rStyle w:val="InternetLink"/>
                  <w:color w:val="596E80"/>
                </w:rPr>
                <w:t xml:space="preserve"> S</w:t>
              </w:r>
            </w:hyperlink>
            <w:hyperlink w:anchor="sPSS">
              <w:r>
                <w:rPr>
                  <w:rStyle w:val="InternetLink"/>
                  <w:caps w:val="false"/>
                  <w:smallCaps w:val="false"/>
                  <w:color w:val="596E80"/>
                </w:rPr>
                <w:t>UPPLEMENT</w:t>
              </w:r>
            </w:hyperlink>
            <w:hyperlink w:anchor="sPSS">
              <w:r>
                <w:rPr>
                  <w:rStyle w:val="InternetLink"/>
                  <w:color w:val="596E80"/>
                </w:rPr>
                <w:t xml:space="preserve"> S</w:t>
              </w:r>
            </w:hyperlink>
            <w:hyperlink w:anchor="sPSS">
              <w:r>
                <w:rPr>
                  <w:rStyle w:val="InternetLink"/>
                  <w:caps w:val="false"/>
                  <w:smallCaps w:val="false"/>
                  <w:color w:val="596E80"/>
                </w:rPr>
                <w:t>UMMARY</w:t>
              </w:r>
            </w:hyperlink>
            <w:hyperlink w:anchor="sPSS">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hyperlink w:anchor="sPSS">
              <w:r>
                <w:rPr>
                  <w:rStyle w:val="InternetLink"/>
                  <w:color w:val="596E80"/>
                </w:rPr>
                <w:t xml:space="preserve">S-1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0"/>
              <w:jc w:val="left"/>
              <w:rPr/>
            </w:pPr>
            <w:hyperlink w:anchor="sRIFA">
              <w:r>
                <w:rPr>
                  <w:rStyle w:val="InternetLink"/>
                  <w:color w:val="596E80"/>
                </w:rPr>
                <w:t>R</w:t>
              </w:r>
            </w:hyperlink>
            <w:hyperlink w:anchor="sRIFA">
              <w:r>
                <w:rPr>
                  <w:rStyle w:val="InternetLink"/>
                  <w:caps w:val="false"/>
                  <w:smallCaps w:val="false"/>
                  <w:color w:val="596E80"/>
                </w:rPr>
                <w:t>ISK</w:t>
              </w:r>
            </w:hyperlink>
            <w:hyperlink w:anchor="sRIFA">
              <w:r>
                <w:rPr>
                  <w:rStyle w:val="InternetLink"/>
                  <w:color w:val="596E80"/>
                </w:rPr>
                <w:t xml:space="preserve"> F</w:t>
              </w:r>
            </w:hyperlink>
            <w:hyperlink w:anchor="sRIFA">
              <w:r>
                <w:rPr>
                  <w:rStyle w:val="InternetLink"/>
                  <w:caps w:val="false"/>
                  <w:smallCaps w:val="false"/>
                  <w:color w:val="596E80"/>
                </w:rPr>
                <w:t>ACTORS</w:t>
              </w:r>
            </w:hyperlink>
            <w:hyperlink w:anchor="sRIFA">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hyperlink w:anchor="sRIFA">
              <w:r>
                <w:rPr>
                  <w:rStyle w:val="InternetLink"/>
                  <w:color w:val="596E80"/>
                </w:rPr>
                <w:t xml:space="preserve">S-7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sUOP">
              <w:r>
                <w:rPr>
                  <w:rStyle w:val="InternetLink"/>
                  <w:color w:val="596E80"/>
                </w:rPr>
                <w:t>U</w:t>
              </w:r>
            </w:hyperlink>
            <w:hyperlink w:anchor="sUOP">
              <w:r>
                <w:rPr>
                  <w:rStyle w:val="InternetLink"/>
                  <w:caps w:val="false"/>
                  <w:smallCaps w:val="false"/>
                  <w:color w:val="596E80"/>
                </w:rPr>
                <w:t>SE OF</w:t>
              </w:r>
            </w:hyperlink>
            <w:hyperlink w:anchor="sUOP">
              <w:r>
                <w:rPr>
                  <w:rStyle w:val="InternetLink"/>
                  <w:color w:val="596E80"/>
                </w:rPr>
                <w:t xml:space="preserve"> P</w:t>
              </w:r>
            </w:hyperlink>
            <w:hyperlink w:anchor="sUOP">
              <w:r>
                <w:rPr>
                  <w:rStyle w:val="InternetLink"/>
                  <w:caps w:val="false"/>
                  <w:smallCaps w:val="false"/>
                  <w:color w:val="596E80"/>
                </w:rPr>
                <w:t>ROCEEDS</w:t>
              </w:r>
            </w:hyperlink>
            <w:hyperlink w:anchor="sUOP">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hyperlink w:anchor="sUOP">
              <w:r>
                <w:rPr>
                  <w:rStyle w:val="InternetLink"/>
                  <w:color w:val="596E80"/>
                </w:rPr>
                <w:t xml:space="preserve">S-12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283"/>
              <w:jc w:val="left"/>
              <w:rPr/>
            </w:pPr>
            <w:hyperlink w:anchor="sDIL">
              <w:r>
                <w:rPr>
                  <w:rStyle w:val="InternetLink"/>
                  <w:color w:val="596E80"/>
                </w:rPr>
                <w:t>D</w:t>
              </w:r>
            </w:hyperlink>
            <w:hyperlink w:anchor="sDIL">
              <w:r>
                <w:rPr>
                  <w:rStyle w:val="InternetLink"/>
                  <w:caps w:val="false"/>
                  <w:smallCaps w:val="false"/>
                  <w:color w:val="596E80"/>
                </w:rPr>
                <w:t>ILUTION</w:t>
              </w:r>
            </w:hyperlink>
            <w:hyperlink w:anchor="sDIL">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hyperlink w:anchor="sDIL">
              <w:r>
                <w:rPr>
                  <w:rStyle w:val="InternetLink"/>
                  <w:color w:val="596E80"/>
                </w:rPr>
                <w:t xml:space="preserve">S-13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sDOSW">
              <w:r>
                <w:rPr>
                  <w:rStyle w:val="InternetLink"/>
                  <w:color w:val="596E80"/>
                </w:rPr>
                <w:t xml:space="preserve">Description of Securities We Are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hyperlink w:anchor="sDOSW">
              <w:r>
                <w:rPr>
                  <w:rStyle w:val="InternetLink"/>
                  <w:color w:val="596E80"/>
                </w:rPr>
                <w:t xml:space="preserve">S-15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283"/>
              <w:jc w:val="left"/>
              <w:rPr/>
            </w:pPr>
            <w:hyperlink w:anchor="sUND">
              <w:r>
                <w:rPr>
                  <w:rStyle w:val="InternetLink"/>
                  <w:color w:val="596E80"/>
                </w:rPr>
                <w:t>U</w:t>
              </w:r>
            </w:hyperlink>
            <w:hyperlink w:anchor="sUND">
              <w:r>
                <w:rPr>
                  <w:rStyle w:val="InternetLink"/>
                  <w:caps w:val="false"/>
                  <w:smallCaps w:val="false"/>
                  <w:color w:val="596E80"/>
                </w:rPr>
                <w:t>NDERWRITING</w:t>
              </w:r>
            </w:hyperlink>
            <w:hyperlink w:anchor="sUND">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hyperlink w:anchor="sUND">
              <w:r>
                <w:rPr>
                  <w:rStyle w:val="InternetLink"/>
                  <w:color w:val="596E80"/>
                </w:rPr>
                <w:t xml:space="preserve">S-24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sLEMA">
              <w:r>
                <w:rPr>
                  <w:rStyle w:val="InternetLink"/>
                  <w:color w:val="596E80"/>
                </w:rPr>
                <w:t>L</w:t>
              </w:r>
            </w:hyperlink>
            <w:hyperlink w:anchor="sLEMA">
              <w:r>
                <w:rPr>
                  <w:rStyle w:val="InternetLink"/>
                  <w:caps w:val="false"/>
                  <w:smallCaps w:val="false"/>
                  <w:color w:val="596E80"/>
                </w:rPr>
                <w:t>EGAL</w:t>
              </w:r>
            </w:hyperlink>
            <w:hyperlink w:anchor="sLEMA">
              <w:r>
                <w:rPr>
                  <w:rStyle w:val="InternetLink"/>
                  <w:color w:val="596E80"/>
                </w:rPr>
                <w:t xml:space="preserve"> M</w:t>
              </w:r>
            </w:hyperlink>
            <w:hyperlink w:anchor="sLEMA">
              <w:r>
                <w:rPr>
                  <w:rStyle w:val="InternetLink"/>
                  <w:caps w:val="false"/>
                  <w:smallCaps w:val="false"/>
                  <w:color w:val="596E80"/>
                </w:rPr>
                <w:t>ATTERS</w:t>
              </w:r>
            </w:hyperlink>
            <w:hyperlink w:anchor="sLEMA">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hyperlink w:anchor="sLEMA">
              <w:r>
                <w:rPr>
                  <w:rStyle w:val="InternetLink"/>
                  <w:color w:val="596E80"/>
                </w:rPr>
                <w:t xml:space="preserve">S-33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283"/>
              <w:jc w:val="left"/>
              <w:rPr/>
            </w:pPr>
            <w:hyperlink w:anchor="sEXP">
              <w:r>
                <w:rPr>
                  <w:rStyle w:val="InternetLink"/>
                  <w:color w:val="596E80"/>
                </w:rPr>
                <w:t>E</w:t>
              </w:r>
            </w:hyperlink>
            <w:hyperlink w:anchor="sEXP">
              <w:r>
                <w:rPr>
                  <w:rStyle w:val="InternetLink"/>
                  <w:caps w:val="false"/>
                  <w:smallCaps w:val="false"/>
                  <w:color w:val="596E80"/>
                </w:rPr>
                <w:t>XPERTS</w:t>
              </w:r>
            </w:hyperlink>
            <w:hyperlink w:anchor="sEXP">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hyperlink w:anchor="sEXP">
              <w:r>
                <w:rPr>
                  <w:rStyle w:val="InternetLink"/>
                  <w:color w:val="596E80"/>
                </w:rPr>
                <w:t xml:space="preserve">S-33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sWYCF">
              <w:r>
                <w:rPr>
                  <w:rStyle w:val="InternetLink"/>
                  <w:color w:val="596E80"/>
                </w:rPr>
                <w:t>W</w:t>
              </w:r>
            </w:hyperlink>
            <w:hyperlink w:anchor="sWYCF">
              <w:r>
                <w:rPr>
                  <w:rStyle w:val="InternetLink"/>
                  <w:caps w:val="false"/>
                  <w:smallCaps w:val="false"/>
                  <w:color w:val="596E80"/>
                </w:rPr>
                <w:t>HERE</w:t>
              </w:r>
            </w:hyperlink>
            <w:hyperlink w:anchor="sWYCF">
              <w:r>
                <w:rPr>
                  <w:rStyle w:val="InternetLink"/>
                  <w:color w:val="596E80"/>
                </w:rPr>
                <w:t xml:space="preserve"> Y</w:t>
              </w:r>
            </w:hyperlink>
            <w:hyperlink w:anchor="sWYCF">
              <w:r>
                <w:rPr>
                  <w:rStyle w:val="InternetLink"/>
                  <w:caps w:val="false"/>
                  <w:smallCaps w:val="false"/>
                  <w:color w:val="596E80"/>
                </w:rPr>
                <w:t>OU</w:t>
              </w:r>
            </w:hyperlink>
            <w:hyperlink w:anchor="sWYCF">
              <w:r>
                <w:rPr>
                  <w:rStyle w:val="InternetLink"/>
                  <w:color w:val="596E80"/>
                </w:rPr>
                <w:t xml:space="preserve"> C</w:t>
              </w:r>
            </w:hyperlink>
            <w:hyperlink w:anchor="sWYCF">
              <w:r>
                <w:rPr>
                  <w:rStyle w:val="InternetLink"/>
                  <w:caps w:val="false"/>
                  <w:smallCaps w:val="false"/>
                  <w:color w:val="596E80"/>
                </w:rPr>
                <w:t>AN</w:t>
              </w:r>
            </w:hyperlink>
            <w:hyperlink w:anchor="sWYCF">
              <w:r>
                <w:rPr>
                  <w:rStyle w:val="InternetLink"/>
                  <w:color w:val="596E80"/>
                </w:rPr>
                <w:t xml:space="preserve"> F</w:t>
              </w:r>
            </w:hyperlink>
            <w:hyperlink w:anchor="sWYCF">
              <w:r>
                <w:rPr>
                  <w:rStyle w:val="InternetLink"/>
                  <w:caps w:val="false"/>
                  <w:smallCaps w:val="false"/>
                  <w:color w:val="596E80"/>
                </w:rPr>
                <w:t>IND</w:t>
              </w:r>
            </w:hyperlink>
            <w:hyperlink w:anchor="sWYCF">
              <w:r>
                <w:rPr>
                  <w:rStyle w:val="InternetLink"/>
                  <w:color w:val="596E80"/>
                </w:rPr>
                <w:t xml:space="preserve"> M</w:t>
              </w:r>
            </w:hyperlink>
            <w:hyperlink w:anchor="sWYCF">
              <w:r>
                <w:rPr>
                  <w:rStyle w:val="InternetLink"/>
                  <w:caps w:val="false"/>
                  <w:smallCaps w:val="false"/>
                  <w:color w:val="596E80"/>
                </w:rPr>
                <w:t>ORE</w:t>
              </w:r>
            </w:hyperlink>
            <w:hyperlink w:anchor="sWYCF">
              <w:r>
                <w:rPr>
                  <w:rStyle w:val="InternetLink"/>
                  <w:color w:val="596E80"/>
                </w:rPr>
                <w:t xml:space="preserve"> I</w:t>
              </w:r>
            </w:hyperlink>
            <w:hyperlink w:anchor="sWYCF">
              <w:r>
                <w:rPr>
                  <w:rStyle w:val="InternetLink"/>
                  <w:caps w:val="false"/>
                  <w:smallCaps w:val="false"/>
                  <w:color w:val="596E80"/>
                </w:rPr>
                <w:t>NFORMATION</w:t>
              </w:r>
            </w:hyperlink>
            <w:hyperlink w:anchor="sWYCF">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hyperlink w:anchor="sWYCF">
              <w:r>
                <w:rPr>
                  <w:rStyle w:val="InternetLink"/>
                  <w:color w:val="596E80"/>
                </w:rPr>
                <w:t xml:space="preserve">S-33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0"/>
              <w:jc w:val="left"/>
              <w:rPr/>
            </w:pPr>
            <w:hyperlink w:anchor="sIOCI">
              <w:r>
                <w:rPr>
                  <w:rStyle w:val="InternetLink"/>
                  <w:color w:val="596E80"/>
                </w:rPr>
                <w:t>I</w:t>
              </w:r>
            </w:hyperlink>
            <w:hyperlink w:anchor="sIOCI">
              <w:r>
                <w:rPr>
                  <w:rStyle w:val="InternetLink"/>
                  <w:caps w:val="false"/>
                  <w:smallCaps w:val="false"/>
                  <w:color w:val="596E80"/>
                </w:rPr>
                <w:t>NCORPORATION OF</w:t>
              </w:r>
            </w:hyperlink>
            <w:hyperlink w:anchor="sIOCI">
              <w:r>
                <w:rPr>
                  <w:rStyle w:val="InternetLink"/>
                  <w:color w:val="596E80"/>
                </w:rPr>
                <w:t xml:space="preserve"> C</w:t>
              </w:r>
            </w:hyperlink>
            <w:hyperlink w:anchor="sIOCI">
              <w:r>
                <w:rPr>
                  <w:rStyle w:val="InternetLink"/>
                  <w:caps w:val="false"/>
                  <w:smallCaps w:val="false"/>
                  <w:color w:val="596E80"/>
                </w:rPr>
                <w:t>ERTAIN</w:t>
              </w:r>
            </w:hyperlink>
            <w:hyperlink w:anchor="sIOCI">
              <w:r>
                <w:rPr>
                  <w:rStyle w:val="InternetLink"/>
                  <w:color w:val="596E80"/>
                </w:rPr>
                <w:t xml:space="preserve"> I</w:t>
              </w:r>
            </w:hyperlink>
            <w:hyperlink w:anchor="sIOCI">
              <w:r>
                <w:rPr>
                  <w:rStyle w:val="InternetLink"/>
                  <w:caps w:val="false"/>
                  <w:smallCaps w:val="false"/>
                  <w:color w:val="596E80"/>
                </w:rPr>
                <w:t>NFORMATION BY</w:t>
              </w:r>
            </w:hyperlink>
            <w:hyperlink w:anchor="sIOCI">
              <w:r>
                <w:rPr>
                  <w:rStyle w:val="InternetLink"/>
                  <w:color w:val="596E80"/>
                </w:rPr>
                <w:t xml:space="preserve"> R</w:t>
              </w:r>
            </w:hyperlink>
            <w:hyperlink w:anchor="sIOCI">
              <w:r>
                <w:rPr>
                  <w:rStyle w:val="InternetLink"/>
                  <w:caps w:val="false"/>
                  <w:smallCaps w:val="false"/>
                  <w:color w:val="596E80"/>
                </w:rPr>
                <w:t>EFERENCE</w:t>
              </w:r>
            </w:hyperlink>
            <w:hyperlink w:anchor="sIOCI">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hyperlink w:anchor="sIOCI">
              <w:r>
                <w:rPr>
                  <w:rStyle w:val="InternetLink"/>
                  <w:color w:val="596E80"/>
                </w:rPr>
                <w:t>S-33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6495" w:type="dxa"/>
        <w:jc w:val="left"/>
        <w:tblInd w:w="1393" w:type="dxa"/>
        <w:tblLayout w:type="fixed"/>
        <w:tblCellMar>
          <w:top w:w="0" w:type="dxa"/>
          <w:left w:w="0" w:type="dxa"/>
          <w:bottom w:w="0" w:type="dxa"/>
          <w:right w:w="0" w:type="dxa"/>
        </w:tblCellMar>
      </w:tblPr>
      <w:tblGrid>
        <w:gridCol w:w="124"/>
        <w:gridCol w:w="5266"/>
        <w:gridCol w:w="109"/>
        <w:gridCol w:w="109"/>
        <w:gridCol w:w="109"/>
        <w:gridCol w:w="109"/>
        <w:gridCol w:w="40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217" w:type="dxa"/>
            <w:gridSpan w:val="7"/>
            <w:tcBorders/>
            <w:shd w:fill="CCEEFF" w:val="clear"/>
            <w:vAlign w:val="center"/>
          </w:tcPr>
          <w:p>
            <w:pPr>
              <w:pStyle w:val="TableContents"/>
              <w:bidi w:val="0"/>
              <w:spacing w:before="0" w:after="0"/>
              <w:jc w:val="center"/>
              <w:rPr/>
            </w:pPr>
            <w:r>
              <w:rPr/>
              <w:t>PROSPECTUS</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66" w:type="dxa"/>
            <w:tcBorders/>
            <w:vAlign w:val="center"/>
          </w:tcPr>
          <w:p>
            <w:pPr>
              <w:pStyle w:val="TableContents"/>
              <w:bidi w:val="0"/>
              <w:spacing w:before="0" w:after="0"/>
              <w:jc w:val="left"/>
              <w:rPr/>
            </w:pPr>
            <w:hyperlink w:anchor="tATP">
              <w:r>
                <w:rPr>
                  <w:rStyle w:val="InternetLink"/>
                  <w:color w:val="596E80"/>
                </w:rPr>
                <w:t>A</w:t>
              </w:r>
            </w:hyperlink>
            <w:hyperlink w:anchor="tATP">
              <w:r>
                <w:rPr>
                  <w:rStyle w:val="InternetLink"/>
                  <w:caps w:val="false"/>
                  <w:smallCaps w:val="false"/>
                  <w:color w:val="596E80"/>
                </w:rPr>
                <w:t>BOUT</w:t>
              </w:r>
            </w:hyperlink>
            <w:hyperlink w:anchor="tATP">
              <w:r>
                <w:rPr>
                  <w:rStyle w:val="InternetLink"/>
                  <w:color w:val="596E80"/>
                </w:rPr>
                <w:t xml:space="preserve"> T</w:t>
              </w:r>
            </w:hyperlink>
            <w:hyperlink w:anchor="tATP">
              <w:r>
                <w:rPr>
                  <w:rStyle w:val="InternetLink"/>
                  <w:caps w:val="false"/>
                  <w:smallCaps w:val="false"/>
                  <w:color w:val="596E80"/>
                </w:rPr>
                <w:t>HIS</w:t>
              </w:r>
            </w:hyperlink>
            <w:hyperlink w:anchor="tATP">
              <w:r>
                <w:rPr>
                  <w:rStyle w:val="InternetLink"/>
                  <w:color w:val="596E80"/>
                </w:rPr>
                <w:t xml:space="preserve"> P</w:t>
              </w:r>
            </w:hyperlink>
            <w:hyperlink w:anchor="tATP">
              <w:r>
                <w:rPr>
                  <w:rStyle w:val="InternetLink"/>
                  <w:caps w:val="false"/>
                  <w:smallCaps w:val="false"/>
                  <w:color w:val="596E80"/>
                </w:rPr>
                <w:t>ROSPECTUS</w:t>
              </w:r>
            </w:hyperlink>
            <w:hyperlink w:anchor="tATP">
              <w:r>
                <w:rPr>
                  <w:rStyle w:val="InternetLink"/>
                  <w:color w:val="596E80"/>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ATP">
              <w:r>
                <w:rPr>
                  <w:rStyle w:val="InternetLink"/>
                  <w:color w:val="596E80"/>
                </w:rPr>
                <w:t xml:space="preserve">ii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266" w:type="dxa"/>
            <w:tcBorders/>
            <w:shd w:fill="CCEEFF" w:val="clear"/>
            <w:vAlign w:val="center"/>
          </w:tcPr>
          <w:p>
            <w:pPr>
              <w:pStyle w:val="TableContents"/>
              <w:bidi w:val="0"/>
              <w:spacing w:before="0" w:after="0"/>
              <w:jc w:val="left"/>
              <w:rPr/>
            </w:pPr>
            <w:hyperlink w:anchor="tPRSU">
              <w:r>
                <w:rPr>
                  <w:rStyle w:val="InternetLink"/>
                  <w:color w:val="596E80"/>
                </w:rPr>
                <w:t>P</w:t>
              </w:r>
            </w:hyperlink>
            <w:hyperlink w:anchor="tPRSU">
              <w:r>
                <w:rPr>
                  <w:rStyle w:val="InternetLink"/>
                  <w:caps w:val="false"/>
                  <w:smallCaps w:val="false"/>
                  <w:color w:val="596E80"/>
                </w:rPr>
                <w:t>ROSPECTUS</w:t>
              </w:r>
            </w:hyperlink>
            <w:hyperlink w:anchor="tPRSU">
              <w:r>
                <w:rPr>
                  <w:rStyle w:val="InternetLink"/>
                  <w:color w:val="596E80"/>
                </w:rPr>
                <w:t xml:space="preserve"> S</w:t>
              </w:r>
            </w:hyperlink>
            <w:hyperlink w:anchor="tPRSU">
              <w:r>
                <w:rPr>
                  <w:rStyle w:val="InternetLink"/>
                  <w:caps w:val="false"/>
                  <w:smallCaps w:val="false"/>
                  <w:color w:val="596E80"/>
                </w:rPr>
                <w:t>UMMARY</w:t>
              </w:r>
            </w:hyperlink>
            <w:hyperlink w:anchor="tPRSU">
              <w:r>
                <w:rPr>
                  <w:rStyle w:val="InternetLink"/>
                  <w:color w:val="596E80"/>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6" w:type="dxa"/>
            <w:tcBorders/>
            <w:shd w:fill="CCEEFF" w:val="clear"/>
            <w:vAlign w:val="center"/>
          </w:tcPr>
          <w:p>
            <w:pPr>
              <w:pStyle w:val="TableContents"/>
              <w:bidi w:val="0"/>
              <w:spacing w:before="0" w:after="283"/>
              <w:jc w:val="right"/>
              <w:rPr/>
            </w:pPr>
            <w:hyperlink w:anchor="tPRSU">
              <w:r>
                <w:rPr>
                  <w:rStyle w:val="InternetLink"/>
                  <w:color w:val="596E80"/>
                </w:rPr>
                <w:t xml:space="preserve">1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66" w:type="dxa"/>
            <w:tcBorders/>
            <w:vAlign w:val="center"/>
          </w:tcPr>
          <w:p>
            <w:pPr>
              <w:pStyle w:val="TableContents"/>
              <w:bidi w:val="0"/>
              <w:spacing w:before="0" w:after="0"/>
              <w:jc w:val="left"/>
              <w:rPr/>
            </w:pPr>
            <w:hyperlink w:anchor="tTSWM">
              <w:r>
                <w:rPr>
                  <w:rStyle w:val="InternetLink"/>
                  <w:color w:val="596E80"/>
                </w:rPr>
                <w:t>T</w:t>
              </w:r>
            </w:hyperlink>
            <w:hyperlink w:anchor="tTSWM">
              <w:r>
                <w:rPr>
                  <w:rStyle w:val="InternetLink"/>
                  <w:caps w:val="false"/>
                  <w:smallCaps w:val="false"/>
                  <w:color w:val="596E80"/>
                </w:rPr>
                <w:t>HE</w:t>
              </w:r>
            </w:hyperlink>
            <w:hyperlink w:anchor="tTSWM">
              <w:r>
                <w:rPr>
                  <w:rStyle w:val="InternetLink"/>
                  <w:color w:val="596E80"/>
                </w:rPr>
                <w:t xml:space="preserve"> S</w:t>
              </w:r>
            </w:hyperlink>
            <w:hyperlink w:anchor="tTSWM">
              <w:r>
                <w:rPr>
                  <w:rStyle w:val="InternetLink"/>
                  <w:caps w:val="false"/>
                  <w:smallCaps w:val="false"/>
                  <w:color w:val="596E80"/>
                </w:rPr>
                <w:t>ECURITIES</w:t>
              </w:r>
            </w:hyperlink>
            <w:hyperlink w:anchor="tTSWM">
              <w:r>
                <w:rPr>
                  <w:rStyle w:val="InternetLink"/>
                  <w:color w:val="596E80"/>
                </w:rPr>
                <w:t xml:space="preserve"> W</w:t>
              </w:r>
            </w:hyperlink>
            <w:hyperlink w:anchor="tTSWM">
              <w:r>
                <w:rPr>
                  <w:rStyle w:val="InternetLink"/>
                  <w:caps w:val="false"/>
                  <w:smallCaps w:val="false"/>
                  <w:color w:val="596E80"/>
                </w:rPr>
                <w:t>E</w:t>
              </w:r>
            </w:hyperlink>
            <w:hyperlink w:anchor="tTSWM">
              <w:r>
                <w:rPr>
                  <w:rStyle w:val="InternetLink"/>
                  <w:color w:val="596E80"/>
                </w:rPr>
                <w:t xml:space="preserve"> M</w:t>
              </w:r>
            </w:hyperlink>
            <w:hyperlink w:anchor="tTSWM">
              <w:r>
                <w:rPr>
                  <w:rStyle w:val="InternetLink"/>
                  <w:caps w:val="false"/>
                  <w:smallCaps w:val="false"/>
                  <w:color w:val="596E80"/>
                </w:rPr>
                <w:t>AY</w:t>
              </w:r>
            </w:hyperlink>
            <w:hyperlink w:anchor="tTSWM">
              <w:r>
                <w:rPr>
                  <w:rStyle w:val="InternetLink"/>
                  <w:color w:val="596E80"/>
                </w:rPr>
                <w:t xml:space="preserve"> O</w:t>
              </w:r>
            </w:hyperlink>
            <w:hyperlink w:anchor="tTSWM">
              <w:r>
                <w:rPr>
                  <w:rStyle w:val="InternetLink"/>
                  <w:caps w:val="false"/>
                  <w:smallCaps w:val="false"/>
                  <w:color w:val="596E80"/>
                </w:rPr>
                <w:t>FFER</w:t>
              </w:r>
            </w:hyperlink>
            <w:hyperlink w:anchor="tTSWM">
              <w:r>
                <w:rPr>
                  <w:rStyle w:val="InternetLink"/>
                  <w:color w:val="596E80"/>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TSWM">
              <w:r>
                <w:rPr>
                  <w:rStyle w:val="InternetLink"/>
                  <w:color w:val="596E80"/>
                </w:rPr>
                <w:t xml:space="preserve">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266" w:type="dxa"/>
            <w:tcBorders/>
            <w:shd w:fill="CCEEFF" w:val="clear"/>
            <w:vAlign w:val="center"/>
          </w:tcPr>
          <w:p>
            <w:pPr>
              <w:pStyle w:val="TableContents"/>
              <w:bidi w:val="0"/>
              <w:spacing w:before="0" w:after="0"/>
              <w:jc w:val="left"/>
              <w:rPr/>
            </w:pPr>
            <w:hyperlink w:anchor="tRIFA">
              <w:r>
                <w:rPr>
                  <w:rStyle w:val="InternetLink"/>
                  <w:color w:val="596E80"/>
                </w:rPr>
                <w:t>R</w:t>
              </w:r>
            </w:hyperlink>
            <w:hyperlink w:anchor="tRIFA">
              <w:r>
                <w:rPr>
                  <w:rStyle w:val="InternetLink"/>
                  <w:caps w:val="false"/>
                  <w:smallCaps w:val="false"/>
                  <w:color w:val="596E80"/>
                </w:rPr>
                <w:t>ISK</w:t>
              </w:r>
            </w:hyperlink>
            <w:hyperlink w:anchor="tRIFA">
              <w:r>
                <w:rPr>
                  <w:rStyle w:val="InternetLink"/>
                  <w:color w:val="596E80"/>
                </w:rPr>
                <w:t xml:space="preserve"> F</w:t>
              </w:r>
            </w:hyperlink>
            <w:hyperlink w:anchor="tRIFA">
              <w:r>
                <w:rPr>
                  <w:rStyle w:val="InternetLink"/>
                  <w:caps w:val="false"/>
                  <w:smallCaps w:val="false"/>
                  <w:color w:val="596E80"/>
                </w:rPr>
                <w:t>ACTORS</w:t>
              </w:r>
            </w:hyperlink>
            <w:hyperlink w:anchor="tRIFA">
              <w:r>
                <w:rPr>
                  <w:rStyle w:val="InternetLink"/>
                  <w:color w:val="596E80"/>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6" w:type="dxa"/>
            <w:tcBorders/>
            <w:shd w:fill="CCEEFF" w:val="clear"/>
            <w:vAlign w:val="center"/>
          </w:tcPr>
          <w:p>
            <w:pPr>
              <w:pStyle w:val="TableContents"/>
              <w:bidi w:val="0"/>
              <w:spacing w:before="0" w:after="283"/>
              <w:jc w:val="right"/>
              <w:rPr/>
            </w:pPr>
            <w:hyperlink w:anchor="tRIFA">
              <w:r>
                <w:rPr>
                  <w:rStyle w:val="InternetLink"/>
                  <w:color w:val="596E80"/>
                </w:rPr>
                <w:t xml:space="preserve">7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66" w:type="dxa"/>
            <w:tcBorders/>
            <w:vAlign w:val="center"/>
          </w:tcPr>
          <w:p>
            <w:pPr>
              <w:pStyle w:val="TableContents"/>
              <w:bidi w:val="0"/>
              <w:spacing w:before="0" w:after="0"/>
              <w:jc w:val="left"/>
              <w:rPr/>
            </w:pPr>
            <w:hyperlink w:anchor="tSNRF">
              <w:r>
                <w:rPr>
                  <w:rStyle w:val="InternetLink"/>
                  <w:color w:val="596E80"/>
                </w:rPr>
                <w:t>S</w:t>
              </w:r>
            </w:hyperlink>
            <w:hyperlink w:anchor="tSNRF">
              <w:r>
                <w:rPr>
                  <w:rStyle w:val="InternetLink"/>
                  <w:caps w:val="false"/>
                  <w:smallCaps w:val="false"/>
                  <w:color w:val="596E80"/>
                </w:rPr>
                <w:t>PECIAL</w:t>
              </w:r>
            </w:hyperlink>
            <w:hyperlink w:anchor="tSNRF">
              <w:r>
                <w:rPr>
                  <w:rStyle w:val="InternetLink"/>
                  <w:color w:val="596E80"/>
                </w:rPr>
                <w:t xml:space="preserve"> N</w:t>
              </w:r>
            </w:hyperlink>
            <w:hyperlink w:anchor="tSNRF">
              <w:r>
                <w:rPr>
                  <w:rStyle w:val="InternetLink"/>
                  <w:caps w:val="false"/>
                  <w:smallCaps w:val="false"/>
                  <w:color w:val="596E80"/>
                </w:rPr>
                <w:t>OTE</w:t>
              </w:r>
            </w:hyperlink>
            <w:hyperlink w:anchor="tSNRF">
              <w:r>
                <w:rPr>
                  <w:rStyle w:val="InternetLink"/>
                  <w:color w:val="596E80"/>
                </w:rPr>
                <w:t xml:space="preserve"> R</w:t>
              </w:r>
            </w:hyperlink>
            <w:hyperlink w:anchor="tSNRF">
              <w:r>
                <w:rPr>
                  <w:rStyle w:val="InternetLink"/>
                  <w:caps w:val="false"/>
                  <w:smallCaps w:val="false"/>
                  <w:color w:val="596E80"/>
                </w:rPr>
                <w:t>EGARDING</w:t>
              </w:r>
            </w:hyperlink>
            <w:hyperlink w:anchor="tSNRF">
              <w:r>
                <w:rPr>
                  <w:rStyle w:val="InternetLink"/>
                  <w:color w:val="596E80"/>
                </w:rPr>
                <w:t xml:space="preserve"> F</w:t>
              </w:r>
            </w:hyperlink>
            <w:hyperlink w:anchor="tSNRF">
              <w:r>
                <w:rPr>
                  <w:rStyle w:val="InternetLink"/>
                  <w:caps w:val="false"/>
                  <w:smallCaps w:val="false"/>
                  <w:color w:val="596E80"/>
                </w:rPr>
                <w:t>ORWARD</w:t>
              </w:r>
            </w:hyperlink>
            <w:hyperlink w:anchor="tSNRF">
              <w:r>
                <w:rPr>
                  <w:rStyle w:val="InternetLink"/>
                  <w:color w:val="596E80"/>
                </w:rPr>
                <w:t>-L</w:t>
              </w:r>
            </w:hyperlink>
            <w:hyperlink w:anchor="tSNRF">
              <w:r>
                <w:rPr>
                  <w:rStyle w:val="InternetLink"/>
                  <w:caps w:val="false"/>
                  <w:smallCaps w:val="false"/>
                  <w:color w:val="596E80"/>
                </w:rPr>
                <w:t>OOKING</w:t>
              </w:r>
            </w:hyperlink>
            <w:hyperlink w:anchor="tSNRF">
              <w:r>
                <w:rPr>
                  <w:rStyle w:val="InternetLink"/>
                  <w:color w:val="596E80"/>
                </w:rPr>
                <w:t xml:space="preserve"> S</w:t>
              </w:r>
            </w:hyperlink>
            <w:hyperlink w:anchor="tSNRF">
              <w:r>
                <w:rPr>
                  <w:rStyle w:val="InternetLink"/>
                  <w:caps w:val="false"/>
                  <w:smallCaps w:val="false"/>
                  <w:color w:val="596E80"/>
                </w:rPr>
                <w:t>TATEMENTS</w:t>
              </w:r>
            </w:hyperlink>
            <w:hyperlink w:anchor="tSNRF">
              <w:r>
                <w:rPr>
                  <w:rStyle w:val="InternetLink"/>
                  <w:color w:val="596E80"/>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SNRF">
              <w:r>
                <w:rPr>
                  <w:rStyle w:val="InternetLink"/>
                  <w:color w:val="596E80"/>
                </w:rPr>
                <w:t xml:space="preserve">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266" w:type="dxa"/>
            <w:tcBorders/>
            <w:shd w:fill="CCEEFF" w:val="clear"/>
            <w:vAlign w:val="center"/>
          </w:tcPr>
          <w:p>
            <w:pPr>
              <w:pStyle w:val="TableContents"/>
              <w:bidi w:val="0"/>
              <w:spacing w:before="0" w:after="0"/>
              <w:jc w:val="left"/>
              <w:rPr/>
            </w:pPr>
            <w:hyperlink w:anchor="tUOP">
              <w:r>
                <w:rPr>
                  <w:rStyle w:val="InternetLink"/>
                  <w:color w:val="596E80"/>
                </w:rPr>
                <w:t>U</w:t>
              </w:r>
            </w:hyperlink>
            <w:hyperlink w:anchor="tUOP">
              <w:r>
                <w:rPr>
                  <w:rStyle w:val="InternetLink"/>
                  <w:caps w:val="false"/>
                  <w:smallCaps w:val="false"/>
                  <w:color w:val="596E80"/>
                </w:rPr>
                <w:t>SE OF</w:t>
              </w:r>
            </w:hyperlink>
            <w:hyperlink w:anchor="tUOP">
              <w:r>
                <w:rPr>
                  <w:rStyle w:val="InternetLink"/>
                  <w:color w:val="596E80"/>
                </w:rPr>
                <w:t xml:space="preserve"> P</w:t>
              </w:r>
            </w:hyperlink>
            <w:hyperlink w:anchor="tUOP">
              <w:r>
                <w:rPr>
                  <w:rStyle w:val="InternetLink"/>
                  <w:caps w:val="false"/>
                  <w:smallCaps w:val="false"/>
                  <w:color w:val="596E80"/>
                </w:rPr>
                <w:t>ROCEEDS</w:t>
              </w:r>
            </w:hyperlink>
            <w:hyperlink w:anchor="tUOP">
              <w:r>
                <w:rPr>
                  <w:rStyle w:val="InternetLink"/>
                  <w:color w:val="596E80"/>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6" w:type="dxa"/>
            <w:tcBorders/>
            <w:shd w:fill="CCEEFF" w:val="clear"/>
            <w:vAlign w:val="center"/>
          </w:tcPr>
          <w:p>
            <w:pPr>
              <w:pStyle w:val="TableContents"/>
              <w:bidi w:val="0"/>
              <w:spacing w:before="0" w:after="283"/>
              <w:jc w:val="right"/>
              <w:rPr/>
            </w:pPr>
            <w:hyperlink w:anchor="tUOP">
              <w:r>
                <w:rPr>
                  <w:rStyle w:val="InternetLink"/>
                  <w:color w:val="596E80"/>
                </w:rPr>
                <w:t xml:space="preserve">10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66" w:type="dxa"/>
            <w:tcBorders/>
            <w:vAlign w:val="center"/>
          </w:tcPr>
          <w:p>
            <w:pPr>
              <w:pStyle w:val="TableContents"/>
              <w:bidi w:val="0"/>
              <w:spacing w:before="0" w:after="0"/>
              <w:jc w:val="left"/>
              <w:rPr/>
            </w:pPr>
            <w:hyperlink w:anchor="tDOCS">
              <w:r>
                <w:rPr>
                  <w:rStyle w:val="InternetLink"/>
                  <w:color w:val="596E80"/>
                </w:rPr>
                <w:t>D</w:t>
              </w:r>
            </w:hyperlink>
            <w:hyperlink w:anchor="tDOCS">
              <w:r>
                <w:rPr>
                  <w:rStyle w:val="InternetLink"/>
                  <w:caps w:val="false"/>
                  <w:smallCaps w:val="false"/>
                  <w:color w:val="596E80"/>
                </w:rPr>
                <w:t>ESCRIPTION OF</w:t>
              </w:r>
            </w:hyperlink>
            <w:hyperlink w:anchor="tDOCS">
              <w:r>
                <w:rPr>
                  <w:rStyle w:val="InternetLink"/>
                  <w:color w:val="596E80"/>
                </w:rPr>
                <w:t xml:space="preserve"> C</w:t>
              </w:r>
            </w:hyperlink>
            <w:hyperlink w:anchor="tDOCS">
              <w:r>
                <w:rPr>
                  <w:rStyle w:val="InternetLink"/>
                  <w:caps w:val="false"/>
                  <w:smallCaps w:val="false"/>
                  <w:color w:val="596E80"/>
                </w:rPr>
                <w:t>APITAL</w:t>
              </w:r>
            </w:hyperlink>
            <w:hyperlink w:anchor="tDOCS">
              <w:r>
                <w:rPr>
                  <w:rStyle w:val="InternetLink"/>
                  <w:color w:val="596E80"/>
                </w:rPr>
                <w:t xml:space="preserve"> S</w:t>
              </w:r>
            </w:hyperlink>
            <w:hyperlink w:anchor="tDOCS">
              <w:r>
                <w:rPr>
                  <w:rStyle w:val="InternetLink"/>
                  <w:caps w:val="false"/>
                  <w:smallCaps w:val="false"/>
                  <w:color w:val="596E80"/>
                </w:rPr>
                <w:t>TOCK</w:t>
              </w:r>
            </w:hyperlink>
            <w:hyperlink w:anchor="tDOCS">
              <w:r>
                <w:rPr>
                  <w:rStyle w:val="InternetLink"/>
                  <w:color w:val="596E80"/>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OCS">
              <w:r>
                <w:rPr>
                  <w:rStyle w:val="InternetLink"/>
                  <w:color w:val="596E80"/>
                </w:rPr>
                <w:t xml:space="preserve">11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266" w:type="dxa"/>
            <w:tcBorders/>
            <w:shd w:fill="CCEEFF" w:val="clear"/>
            <w:vAlign w:val="center"/>
          </w:tcPr>
          <w:p>
            <w:pPr>
              <w:pStyle w:val="TableContents"/>
              <w:bidi w:val="0"/>
              <w:spacing w:before="0" w:after="0"/>
              <w:jc w:val="left"/>
              <w:rPr/>
            </w:pPr>
            <w:hyperlink w:anchor="tDODS">
              <w:r>
                <w:rPr>
                  <w:rStyle w:val="InternetLink"/>
                  <w:color w:val="596E80"/>
                </w:rPr>
                <w:t>D</w:t>
              </w:r>
            </w:hyperlink>
            <w:hyperlink w:anchor="tDODS">
              <w:r>
                <w:rPr>
                  <w:rStyle w:val="InternetLink"/>
                  <w:caps w:val="false"/>
                  <w:smallCaps w:val="false"/>
                  <w:color w:val="596E80"/>
                </w:rPr>
                <w:t>ESCRIPTION OF</w:t>
              </w:r>
            </w:hyperlink>
            <w:hyperlink w:anchor="tDODS">
              <w:r>
                <w:rPr>
                  <w:rStyle w:val="InternetLink"/>
                  <w:color w:val="596E80"/>
                </w:rPr>
                <w:t xml:space="preserve"> D</w:t>
              </w:r>
            </w:hyperlink>
            <w:hyperlink w:anchor="tDODS">
              <w:r>
                <w:rPr>
                  <w:rStyle w:val="InternetLink"/>
                  <w:caps w:val="false"/>
                  <w:smallCaps w:val="false"/>
                  <w:color w:val="596E80"/>
                </w:rPr>
                <w:t>EBT</w:t>
              </w:r>
            </w:hyperlink>
            <w:hyperlink w:anchor="tDODS">
              <w:r>
                <w:rPr>
                  <w:rStyle w:val="InternetLink"/>
                  <w:color w:val="596E80"/>
                </w:rPr>
                <w:t xml:space="preserve"> S</w:t>
              </w:r>
            </w:hyperlink>
            <w:hyperlink w:anchor="tDODS">
              <w:r>
                <w:rPr>
                  <w:rStyle w:val="InternetLink"/>
                  <w:caps w:val="false"/>
                  <w:smallCaps w:val="false"/>
                  <w:color w:val="596E80"/>
                </w:rPr>
                <w:t>ECURITIES</w:t>
              </w:r>
            </w:hyperlink>
            <w:hyperlink w:anchor="tDODS">
              <w:r>
                <w:rPr>
                  <w:rStyle w:val="InternetLink"/>
                  <w:color w:val="596E80"/>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6" w:type="dxa"/>
            <w:tcBorders/>
            <w:shd w:fill="CCEEFF" w:val="clear"/>
            <w:vAlign w:val="center"/>
          </w:tcPr>
          <w:p>
            <w:pPr>
              <w:pStyle w:val="TableContents"/>
              <w:bidi w:val="0"/>
              <w:spacing w:before="0" w:after="283"/>
              <w:jc w:val="right"/>
              <w:rPr/>
            </w:pPr>
            <w:hyperlink w:anchor="tDODS">
              <w:r>
                <w:rPr>
                  <w:rStyle w:val="InternetLink"/>
                  <w:color w:val="596E80"/>
                </w:rPr>
                <w:t xml:space="preserve">16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66" w:type="dxa"/>
            <w:tcBorders/>
            <w:vAlign w:val="center"/>
          </w:tcPr>
          <w:p>
            <w:pPr>
              <w:pStyle w:val="TableContents"/>
              <w:bidi w:val="0"/>
              <w:spacing w:before="0" w:after="0"/>
              <w:jc w:val="left"/>
              <w:rPr/>
            </w:pPr>
            <w:hyperlink w:anchor="tDOW">
              <w:r>
                <w:rPr>
                  <w:rStyle w:val="InternetLink"/>
                  <w:color w:val="596E80"/>
                </w:rPr>
                <w:t>D</w:t>
              </w:r>
            </w:hyperlink>
            <w:hyperlink w:anchor="tDOW">
              <w:r>
                <w:rPr>
                  <w:rStyle w:val="InternetLink"/>
                  <w:caps w:val="false"/>
                  <w:smallCaps w:val="false"/>
                  <w:color w:val="596E80"/>
                </w:rPr>
                <w:t>ESCRIPTION OF</w:t>
              </w:r>
            </w:hyperlink>
            <w:hyperlink w:anchor="tDOW">
              <w:r>
                <w:rPr>
                  <w:rStyle w:val="InternetLink"/>
                  <w:color w:val="596E80"/>
                </w:rPr>
                <w:t xml:space="preserve"> W</w:t>
              </w:r>
            </w:hyperlink>
            <w:hyperlink w:anchor="tDOW">
              <w:r>
                <w:rPr>
                  <w:rStyle w:val="InternetLink"/>
                  <w:caps w:val="false"/>
                  <w:smallCaps w:val="false"/>
                  <w:color w:val="596E80"/>
                </w:rPr>
                <w:t>ARRANTS</w:t>
              </w:r>
            </w:hyperlink>
            <w:hyperlink w:anchor="tDOW">
              <w:r>
                <w:rPr>
                  <w:rStyle w:val="InternetLink"/>
                  <w:color w:val="596E80"/>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DOW">
              <w:r>
                <w:rPr>
                  <w:rStyle w:val="InternetLink"/>
                  <w:color w:val="596E80"/>
                </w:rPr>
                <w:t xml:space="preserve">22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266" w:type="dxa"/>
            <w:tcBorders/>
            <w:shd w:fill="CCEEFF" w:val="clear"/>
            <w:vAlign w:val="center"/>
          </w:tcPr>
          <w:p>
            <w:pPr>
              <w:pStyle w:val="TableContents"/>
              <w:bidi w:val="0"/>
              <w:spacing w:before="0" w:after="0"/>
              <w:jc w:val="left"/>
              <w:rPr/>
            </w:pPr>
            <w:hyperlink w:anchor="tLOOS">
              <w:r>
                <w:rPr>
                  <w:rStyle w:val="InternetLink"/>
                  <w:color w:val="596E80"/>
                </w:rPr>
                <w:t>L</w:t>
              </w:r>
            </w:hyperlink>
            <w:hyperlink w:anchor="tLOOS">
              <w:r>
                <w:rPr>
                  <w:rStyle w:val="InternetLink"/>
                  <w:caps w:val="false"/>
                  <w:smallCaps w:val="false"/>
                  <w:color w:val="596E80"/>
                </w:rPr>
                <w:t>EGAL</w:t>
              </w:r>
            </w:hyperlink>
            <w:hyperlink w:anchor="tLOOS">
              <w:r>
                <w:rPr>
                  <w:rStyle w:val="InternetLink"/>
                  <w:color w:val="596E80"/>
                </w:rPr>
                <w:t xml:space="preserve"> O</w:t>
              </w:r>
            </w:hyperlink>
            <w:hyperlink w:anchor="tLOOS">
              <w:r>
                <w:rPr>
                  <w:rStyle w:val="InternetLink"/>
                  <w:caps w:val="false"/>
                  <w:smallCaps w:val="false"/>
                  <w:color w:val="596E80"/>
                </w:rPr>
                <w:t>WNERSHIP OF</w:t>
              </w:r>
            </w:hyperlink>
            <w:hyperlink w:anchor="tLOOS">
              <w:r>
                <w:rPr>
                  <w:rStyle w:val="InternetLink"/>
                  <w:color w:val="596E80"/>
                </w:rPr>
                <w:t xml:space="preserve"> S</w:t>
              </w:r>
            </w:hyperlink>
            <w:hyperlink w:anchor="tLOOS">
              <w:r>
                <w:rPr>
                  <w:rStyle w:val="InternetLink"/>
                  <w:caps w:val="false"/>
                  <w:smallCaps w:val="false"/>
                  <w:color w:val="596E80"/>
                </w:rPr>
                <w:t>ECURITIES</w:t>
              </w:r>
            </w:hyperlink>
            <w:hyperlink w:anchor="tLOOS">
              <w:r>
                <w:rPr>
                  <w:rStyle w:val="InternetLink"/>
                  <w:color w:val="596E80"/>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6" w:type="dxa"/>
            <w:tcBorders/>
            <w:shd w:fill="CCEEFF" w:val="clear"/>
            <w:vAlign w:val="center"/>
          </w:tcPr>
          <w:p>
            <w:pPr>
              <w:pStyle w:val="TableContents"/>
              <w:bidi w:val="0"/>
              <w:spacing w:before="0" w:after="283"/>
              <w:jc w:val="right"/>
              <w:rPr/>
            </w:pPr>
            <w:hyperlink w:anchor="tLOOS">
              <w:r>
                <w:rPr>
                  <w:rStyle w:val="InternetLink"/>
                  <w:color w:val="596E80"/>
                </w:rPr>
                <w:t xml:space="preserve">24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66" w:type="dxa"/>
            <w:tcBorders/>
            <w:vAlign w:val="center"/>
          </w:tcPr>
          <w:p>
            <w:pPr>
              <w:pStyle w:val="TableContents"/>
              <w:bidi w:val="0"/>
              <w:spacing w:before="0" w:after="0"/>
              <w:jc w:val="left"/>
              <w:rPr/>
            </w:pPr>
            <w:hyperlink w:anchor="tPOD">
              <w:r>
                <w:rPr>
                  <w:rStyle w:val="InternetLink"/>
                  <w:color w:val="596E80"/>
                </w:rPr>
                <w:t>P</w:t>
              </w:r>
            </w:hyperlink>
            <w:hyperlink w:anchor="tPOD">
              <w:r>
                <w:rPr>
                  <w:rStyle w:val="InternetLink"/>
                  <w:caps w:val="false"/>
                  <w:smallCaps w:val="false"/>
                  <w:color w:val="596E80"/>
                </w:rPr>
                <w:t>LAN OF</w:t>
              </w:r>
            </w:hyperlink>
            <w:hyperlink w:anchor="tPOD">
              <w:r>
                <w:rPr>
                  <w:rStyle w:val="InternetLink"/>
                  <w:color w:val="596E80"/>
                </w:rPr>
                <w:t xml:space="preserve"> D</w:t>
              </w:r>
            </w:hyperlink>
            <w:hyperlink w:anchor="tPOD">
              <w:r>
                <w:rPr>
                  <w:rStyle w:val="InternetLink"/>
                  <w:caps w:val="false"/>
                  <w:smallCaps w:val="false"/>
                  <w:color w:val="596E80"/>
                </w:rPr>
                <w:t>ISTRIBUTION</w:t>
              </w:r>
            </w:hyperlink>
            <w:hyperlink w:anchor="tPOD">
              <w:r>
                <w:rPr>
                  <w:rStyle w:val="InternetLink"/>
                  <w:color w:val="596E80"/>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POD">
              <w:r>
                <w:rPr>
                  <w:rStyle w:val="InternetLink"/>
                  <w:color w:val="596E80"/>
                </w:rPr>
                <w:t xml:space="preserve">27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266" w:type="dxa"/>
            <w:tcBorders/>
            <w:shd w:fill="CCEEFF" w:val="clear"/>
            <w:vAlign w:val="center"/>
          </w:tcPr>
          <w:p>
            <w:pPr>
              <w:pStyle w:val="TableContents"/>
              <w:bidi w:val="0"/>
              <w:spacing w:before="0" w:after="0"/>
              <w:jc w:val="left"/>
              <w:rPr/>
            </w:pPr>
            <w:hyperlink w:anchor="tLEMA">
              <w:r>
                <w:rPr>
                  <w:rStyle w:val="InternetLink"/>
                  <w:color w:val="596E80"/>
                </w:rPr>
                <w:t>L</w:t>
              </w:r>
            </w:hyperlink>
            <w:hyperlink w:anchor="tLEMA">
              <w:r>
                <w:rPr>
                  <w:rStyle w:val="InternetLink"/>
                  <w:caps w:val="false"/>
                  <w:smallCaps w:val="false"/>
                  <w:color w:val="596E80"/>
                </w:rPr>
                <w:t>EGAL</w:t>
              </w:r>
            </w:hyperlink>
            <w:hyperlink w:anchor="tLEMA">
              <w:r>
                <w:rPr>
                  <w:rStyle w:val="InternetLink"/>
                  <w:color w:val="596E80"/>
                </w:rPr>
                <w:t xml:space="preserve"> M</w:t>
              </w:r>
            </w:hyperlink>
            <w:hyperlink w:anchor="tLEMA">
              <w:r>
                <w:rPr>
                  <w:rStyle w:val="InternetLink"/>
                  <w:caps w:val="false"/>
                  <w:smallCaps w:val="false"/>
                  <w:color w:val="596E80"/>
                </w:rPr>
                <w:t>ATTERS</w:t>
              </w:r>
            </w:hyperlink>
            <w:hyperlink w:anchor="tLEMA">
              <w:r>
                <w:rPr>
                  <w:rStyle w:val="InternetLink"/>
                  <w:color w:val="596E80"/>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6" w:type="dxa"/>
            <w:tcBorders/>
            <w:shd w:fill="CCEEFF" w:val="clear"/>
            <w:vAlign w:val="center"/>
          </w:tcPr>
          <w:p>
            <w:pPr>
              <w:pStyle w:val="TableContents"/>
              <w:bidi w:val="0"/>
              <w:spacing w:before="0" w:after="283"/>
              <w:jc w:val="right"/>
              <w:rPr/>
            </w:pPr>
            <w:hyperlink w:anchor="tLEMA">
              <w:r>
                <w:rPr>
                  <w:rStyle w:val="InternetLink"/>
                  <w:color w:val="596E80"/>
                </w:rPr>
                <w:t xml:space="preserve">29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66" w:type="dxa"/>
            <w:tcBorders/>
            <w:vAlign w:val="center"/>
          </w:tcPr>
          <w:p>
            <w:pPr>
              <w:pStyle w:val="TableContents"/>
              <w:bidi w:val="0"/>
              <w:spacing w:before="0" w:after="283"/>
              <w:jc w:val="left"/>
              <w:rPr/>
            </w:pPr>
            <w:hyperlink w:anchor="tEXP">
              <w:r>
                <w:rPr>
                  <w:rStyle w:val="InternetLink"/>
                  <w:color w:val="596E80"/>
                </w:rPr>
                <w:t>E</w:t>
              </w:r>
            </w:hyperlink>
            <w:hyperlink w:anchor="tEXP">
              <w:r>
                <w:rPr>
                  <w:rStyle w:val="InternetLink"/>
                  <w:caps w:val="false"/>
                  <w:smallCaps w:val="false"/>
                  <w:color w:val="596E80"/>
                </w:rPr>
                <w:t>XPERTS</w:t>
              </w:r>
            </w:hyperlink>
            <w:hyperlink w:anchor="tEXP">
              <w:r>
                <w:rPr>
                  <w:rStyle w:val="InternetLink"/>
                  <w:color w:val="596E80"/>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EXP">
              <w:r>
                <w:rPr>
                  <w:rStyle w:val="InternetLink"/>
                  <w:color w:val="596E80"/>
                </w:rPr>
                <w:t xml:space="preserve">29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266" w:type="dxa"/>
            <w:tcBorders/>
            <w:shd w:fill="CCEEFF" w:val="clear"/>
            <w:vAlign w:val="center"/>
          </w:tcPr>
          <w:p>
            <w:pPr>
              <w:pStyle w:val="TableContents"/>
              <w:bidi w:val="0"/>
              <w:spacing w:before="0" w:after="0"/>
              <w:jc w:val="left"/>
              <w:rPr/>
            </w:pPr>
            <w:hyperlink w:anchor="tWYCF">
              <w:r>
                <w:rPr>
                  <w:rStyle w:val="InternetLink"/>
                  <w:color w:val="596E80"/>
                </w:rPr>
                <w:t>W</w:t>
              </w:r>
            </w:hyperlink>
            <w:hyperlink w:anchor="tWYCF">
              <w:r>
                <w:rPr>
                  <w:rStyle w:val="InternetLink"/>
                  <w:caps w:val="false"/>
                  <w:smallCaps w:val="false"/>
                  <w:color w:val="596E80"/>
                </w:rPr>
                <w:t>HERE</w:t>
              </w:r>
            </w:hyperlink>
            <w:hyperlink w:anchor="tWYCF">
              <w:r>
                <w:rPr>
                  <w:rStyle w:val="InternetLink"/>
                  <w:color w:val="596E80"/>
                </w:rPr>
                <w:t xml:space="preserve"> Y</w:t>
              </w:r>
            </w:hyperlink>
            <w:hyperlink w:anchor="tWYCF">
              <w:r>
                <w:rPr>
                  <w:rStyle w:val="InternetLink"/>
                  <w:caps w:val="false"/>
                  <w:smallCaps w:val="false"/>
                  <w:color w:val="596E80"/>
                </w:rPr>
                <w:t>OU</w:t>
              </w:r>
            </w:hyperlink>
            <w:hyperlink w:anchor="tWYCF">
              <w:r>
                <w:rPr>
                  <w:rStyle w:val="InternetLink"/>
                  <w:color w:val="596E80"/>
                </w:rPr>
                <w:t xml:space="preserve"> C</w:t>
              </w:r>
            </w:hyperlink>
            <w:hyperlink w:anchor="tWYCF">
              <w:r>
                <w:rPr>
                  <w:rStyle w:val="InternetLink"/>
                  <w:caps w:val="false"/>
                  <w:smallCaps w:val="false"/>
                  <w:color w:val="596E80"/>
                </w:rPr>
                <w:t>AN</w:t>
              </w:r>
            </w:hyperlink>
            <w:hyperlink w:anchor="tWYCF">
              <w:r>
                <w:rPr>
                  <w:rStyle w:val="InternetLink"/>
                  <w:color w:val="596E80"/>
                </w:rPr>
                <w:t xml:space="preserve"> F</w:t>
              </w:r>
            </w:hyperlink>
            <w:hyperlink w:anchor="tWYCF">
              <w:r>
                <w:rPr>
                  <w:rStyle w:val="InternetLink"/>
                  <w:caps w:val="false"/>
                  <w:smallCaps w:val="false"/>
                  <w:color w:val="596E80"/>
                </w:rPr>
                <w:t>IND</w:t>
              </w:r>
            </w:hyperlink>
            <w:hyperlink w:anchor="tWYCF">
              <w:r>
                <w:rPr>
                  <w:rStyle w:val="InternetLink"/>
                  <w:color w:val="596E80"/>
                </w:rPr>
                <w:t xml:space="preserve"> M</w:t>
              </w:r>
            </w:hyperlink>
            <w:hyperlink w:anchor="tWYCF">
              <w:r>
                <w:rPr>
                  <w:rStyle w:val="InternetLink"/>
                  <w:caps w:val="false"/>
                  <w:smallCaps w:val="false"/>
                  <w:color w:val="596E80"/>
                </w:rPr>
                <w:t>ORE</w:t>
              </w:r>
            </w:hyperlink>
            <w:hyperlink w:anchor="tWYCF">
              <w:r>
                <w:rPr>
                  <w:rStyle w:val="InternetLink"/>
                  <w:color w:val="596E80"/>
                </w:rPr>
                <w:t xml:space="preserve"> I</w:t>
              </w:r>
            </w:hyperlink>
            <w:hyperlink w:anchor="tWYCF">
              <w:r>
                <w:rPr>
                  <w:rStyle w:val="InternetLink"/>
                  <w:caps w:val="false"/>
                  <w:smallCaps w:val="false"/>
                  <w:color w:val="596E80"/>
                </w:rPr>
                <w:t>NFORMATION</w:t>
              </w:r>
            </w:hyperlink>
            <w:hyperlink w:anchor="tWYCF">
              <w:r>
                <w:rPr>
                  <w:rStyle w:val="InternetLink"/>
                  <w:color w:val="596E80"/>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6" w:type="dxa"/>
            <w:tcBorders/>
            <w:shd w:fill="CCEEFF" w:val="clear"/>
            <w:vAlign w:val="center"/>
          </w:tcPr>
          <w:p>
            <w:pPr>
              <w:pStyle w:val="TableContents"/>
              <w:bidi w:val="0"/>
              <w:spacing w:before="0" w:after="283"/>
              <w:jc w:val="right"/>
              <w:rPr/>
            </w:pPr>
            <w:hyperlink w:anchor="tWYCF">
              <w:r>
                <w:rPr>
                  <w:rStyle w:val="InternetLink"/>
                  <w:color w:val="596E80"/>
                </w:rPr>
                <w:t xml:space="preserve">29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66" w:type="dxa"/>
            <w:tcBorders/>
            <w:vAlign w:val="center"/>
          </w:tcPr>
          <w:p>
            <w:pPr>
              <w:pStyle w:val="TableContents"/>
              <w:bidi w:val="0"/>
              <w:spacing w:before="0" w:after="0"/>
              <w:jc w:val="left"/>
              <w:rPr/>
            </w:pPr>
            <w:hyperlink w:anchor="tIOCI">
              <w:r>
                <w:rPr>
                  <w:rStyle w:val="InternetLink"/>
                  <w:color w:val="596E80"/>
                </w:rPr>
                <w:t>I</w:t>
              </w:r>
            </w:hyperlink>
            <w:hyperlink w:anchor="tIOCI">
              <w:r>
                <w:rPr>
                  <w:rStyle w:val="InternetLink"/>
                  <w:caps w:val="false"/>
                  <w:smallCaps w:val="false"/>
                  <w:color w:val="596E80"/>
                </w:rPr>
                <w:t>NCORPORATION OF</w:t>
              </w:r>
            </w:hyperlink>
            <w:hyperlink w:anchor="tIOCI">
              <w:r>
                <w:rPr>
                  <w:rStyle w:val="InternetLink"/>
                  <w:color w:val="596E80"/>
                </w:rPr>
                <w:t xml:space="preserve"> C</w:t>
              </w:r>
            </w:hyperlink>
            <w:hyperlink w:anchor="tIOCI">
              <w:r>
                <w:rPr>
                  <w:rStyle w:val="InternetLink"/>
                  <w:caps w:val="false"/>
                  <w:smallCaps w:val="false"/>
                  <w:color w:val="596E80"/>
                </w:rPr>
                <w:t>ERTAIN</w:t>
              </w:r>
            </w:hyperlink>
            <w:hyperlink w:anchor="tIOCI">
              <w:r>
                <w:rPr>
                  <w:rStyle w:val="InternetLink"/>
                  <w:color w:val="596E80"/>
                </w:rPr>
                <w:t xml:space="preserve"> I</w:t>
              </w:r>
            </w:hyperlink>
            <w:hyperlink w:anchor="tIOCI">
              <w:r>
                <w:rPr>
                  <w:rStyle w:val="InternetLink"/>
                  <w:caps w:val="false"/>
                  <w:smallCaps w:val="false"/>
                  <w:color w:val="596E80"/>
                </w:rPr>
                <w:t>NFORMATION BY</w:t>
              </w:r>
            </w:hyperlink>
            <w:hyperlink w:anchor="tIOCI">
              <w:r>
                <w:rPr>
                  <w:rStyle w:val="InternetLink"/>
                  <w:color w:val="596E80"/>
                </w:rPr>
                <w:t xml:space="preserve"> R</w:t>
              </w:r>
            </w:hyperlink>
            <w:hyperlink w:anchor="tIOCI">
              <w:r>
                <w:rPr>
                  <w:rStyle w:val="InternetLink"/>
                  <w:caps w:val="false"/>
                  <w:smallCaps w:val="false"/>
                  <w:color w:val="596E80"/>
                </w:rPr>
                <w:t>EFERENCE</w:t>
              </w:r>
            </w:hyperlink>
            <w:hyperlink w:anchor="tIOCI">
              <w:r>
                <w:rPr>
                  <w:rStyle w:val="InternetLink"/>
                  <w:color w:val="596E80"/>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hyperlink w:anchor="tIOCI">
              <w:r>
                <w:rPr>
                  <w:rStyle w:val="InternetLink"/>
                  <w:color w:val="596E80"/>
                </w:rPr>
                <w:t>30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S-i</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ABOUT THIS PROSPECTUS SUPPLEMENT</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supplement and the accompanying prospectus relate to the offering of our securities. Before buying any of the securities that we are offering, we urge you to carefully read this prospectus supplement and the accompanying prospectus, together with the information incorporated by reference as described in the section titled “Incorporation of Certain Information by Reference” in this prospectus supplement and the accompanying prospectus and the information in any free writing prospectus that we may authorize for use in connection with this offering. These documents contain important information that you should consider when making your investment decision.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document is in two parts. The first part is this prospectus supplement, which describes the terms of this offering of our securities and also adds to and updates information contained in the accompanying prospectus and the documents incorporated by reference into this prospectus supplement and the accompanying prospectus. The second part, the accompanying prospectus dated April 5, 2024,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have not, and the underwriters have not, authorized anyone to provide you with information different than or inconsistent with the information contained in or incorporated by reference into this prospectus supplement, the accompanying prospectus or in any free writing prospectus that we have authorized for use in connection with this offering. We and the underwriters do not take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the documents incorporated by reference into this prospectus supplement and the accompanying prospectus, and in any free writing prospectus that we have authorized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the documents incorporated by reference into this prospectus supplement and the accompanying prospectus, and any free writing prospectus that we have authorized for use in connection with this offering, in their entirety before making an investment decision regarding the securities we are offering. You should also read and consider the information in the documents to which we have referred you to in the section of this prospectus supplement entitled “Where You Can Find More Information” and “Incorporation of Certain Information by Reference.”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Except as otherwise indicated herein or as the context otherwise requires, references in this prospectus supplement, the accompanying prospectus and the information incorporated by reference herein and therein to “Outlook,” “the company,” “we,” “us,” “our” and similar references refer to Outlook Therapeutics, Inc., a Delaware corporation, and its subsidiaries on a consolidated basis.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supplement, the accompanying prospectus, and the information incorporated herein and therein by reference include trademarks, trade names and service marks owned by us or other companies. The Outlook logo, Oncobiologics logo, LYTENAVA and other trademarks or service marks of Outlook Therapeutics, Inc. appearing in this prospectus supplement, the accompanying prospectus, and the information incorporated herein and therein by reference are the property of Outlook Therapeutics, Inc. This prospectus supplement, the accompanying prospectus, and the information incorporated herein and therein by reference also contains registered marks, trademarks and trade names of other companies. All other trademarks, registered marks and trade names appearing in this prospectus supplement, the accompanying prospectus, and the information incorporated herein and therein by reference are the property of their respective holders.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S-ii</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SNRF"/>
      <w:bookmarkEnd w:id="5"/>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SPECIAL NOTE REGARDING FORWARD-LOOKING STATEMENTS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supplement, the accompanying prospectus, the documents we have filed with the SEC that are incorporated by reference and any free writing prospectus that we have authorized for use in connection with this offering contain “forward-looking statements” within the meaning of Section 27A of the Securities Act, and Section 21E of the Securities Exchange Act of 1934, as amended, or the Exchange Act. These statements relate to our future events, including our anticipated operations, research, development, manufacturing and commercialization activities, clinical trials, operating results and financial condition. These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fund our working capital requirements, the sufficiency of our current cash resources and our need for additional funding;</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6">
                <wp:simplePos x="0" y="0"/>
                <wp:positionH relativeFrom="column">
                  <wp:align>left</wp:align>
                </wp:positionH>
                <wp:positionV relativeFrom="line">
                  <wp:align>top</wp:align>
                </wp:positionV>
                <wp:extent cx="1524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maintain and establish collaborations or obtain additional funding;</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7">
                <wp:simplePos x="0" y="0"/>
                <wp:positionH relativeFrom="column">
                  <wp:align>left</wp:align>
                </wp:positionH>
                <wp:positionV relativeFrom="line">
                  <wp:align>top</wp:align>
                </wp:positionV>
                <wp:extent cx="1524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successfully commercialize and generate revenues from the sale of LYTENAVA (bevacizumab-vikg, bevacizumab gamma), including our commercialization strategy, our ability to build a marketing and sales organization, and manufacturing capabilities for LYTENAVA;</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8">
                <wp:simplePos x="0" y="0"/>
                <wp:positionH relativeFrom="column">
                  <wp:align>left</wp:align>
                </wp:positionH>
                <wp:positionV relativeFrom="line">
                  <wp:align>top</wp:align>
                </wp:positionV>
                <wp:extent cx="1524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implementation of our business model and strategic plans for our business, LYTENAVA and any future product candidates;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524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compete in the markets we serve;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524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rate and degree of market acceptance of our current and future product candidates;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524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successfully negotiate and enter into agreements with distribution, strategic and corporate partners;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524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expectations regarding government and third-party payor coverage and reimbursement;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524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expectations regarding the potential market size and the size of the patient populations for LYTENAVA and any other product candidates, if approved, for commercial use;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524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reliance on contract manufacturing providers, distributors, device suppliers, testing laboratories, clinical research service providers, medical affairs, regulatory, and safety support providers, legal service providers, or other vendors or suppliers;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524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successfully source components of LYTENAVA and enter into supplier contracts;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6">
                <wp:simplePos x="0" y="0"/>
                <wp:positionH relativeFrom="column">
                  <wp:align>left</wp:align>
                </wp:positionH>
                <wp:positionV relativeFrom="line">
                  <wp:align>top</wp:align>
                </wp:positionV>
                <wp:extent cx="1524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developments or disputes concerning our intellectual property or other proprietary rights;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524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obtain and maintain regulatory approval for LYTENAVA in the US, EU, UK and other markets;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524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initiation and success of our future research and development programs;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524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other factors that may impact our financial results;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524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anticipated net proceeds from this offering and the application of such proceeds.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524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pPr>
      <w:r>
        <w:rPr>
          <w:rFonts w:ascii="Times New Roman;Times;serif" w:hAnsi="Times New Roman;Times;serif"/>
          <w:b w:val="false"/>
          <w:i w:val="false"/>
          <w:caps w:val="false"/>
          <w:smallCaps w:val="false"/>
          <w:color w:val="596E80"/>
          <w:sz w:val="20"/>
        </w:rPr>
        <w:t xml:space="preserve">In some cases, you can identify forward-looking statements by use of future dates or by terms such as: “anticipates,” “believes,” “continues,” “could,” “estimates,” “expects,” “intends,” “may,” “plans,” “seeks,” “should,” “will” and similar expressions intended to identify forward-looking statements. These statements reflect our current views with respect to future events, are based on assumptions and are subject to risks and uncertainties. Given these risks and uncertainties, you should not place undue reliance on these forward-looking statements. We discuss many of these risks in greater detail in “Risk Factors” contained on page S-7 of this prospectus supplement and in </w:t>
      </w:r>
      <w:hyperlink r:id="rId3">
        <w:r>
          <w:rPr>
            <w:rStyle w:val="InternetLink"/>
          </w:rPr>
          <w:t>Exhibit 99.1 to our Current Report on Form 8-K, filed with the SEC on August 12, 2026</w:t>
        </w:r>
      </w:hyperlink>
      <w:r>
        <w:rPr>
          <w:rFonts w:ascii="Times New Roman;Times;serif" w:hAnsi="Times New Roman;Times;serif"/>
          <w:b w:val="false"/>
          <w:i w:val="false"/>
          <w:caps w:val="false"/>
          <w:smallCaps w:val="false"/>
          <w:color w:val="596E80"/>
          <w:sz w:val="20"/>
        </w:rPr>
        <w:t xml:space="preserve">, as updated by our subsequent filings, which are incorporated by reference into this prospectus supplement and the accompanying prospectus. Also, these forward-looking statements represent our estimates and assumptions only as of the date of the document containing the applicable statement. Unless required by law, we undertake no obligation to update or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S-iii</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1064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revise any forward-looking statements to reflect new information or future events or developments. Thus, you should not assume that our silence over time means that actual events are bearing out as expressed or implied in such forward-looking statements. You should carefully read this prospectus supplement, the accompanying prospectus and the documents incorporated herein and therein by reference as described in the section titled “Incorporation of Certain Information by Reference” in this prospectus supplement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S-iv</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PSS"/>
      <w:bookmarkEnd w:id="6"/>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PROSPECTUS SUPPLEMENT SUMMARY</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pPr>
      <w:r>
        <w:rPr>
          <w:rFonts w:ascii="Times New Roman;Times;serif" w:hAnsi="Times New Roman;Times;serif"/>
          <w:b w:val="false"/>
          <w:i/>
          <w:caps w:val="false"/>
          <w:smallCaps w:val="false"/>
          <w:color w:val="596E80"/>
          <w:sz w:val="20"/>
        </w:rPr>
        <w:t xml:space="preserve">This summary highlights selected information contained elsewhere in this prospectus supplement and the accompanying prospectus and in the documents we incorporate by reference. This summary does not contain all of the information you should consider before investing in our common stock. You should read this entire prospectus supplement and the accompanying prospectus carefully, especially the risks of investing in our securities discussed under “Risk Factors” beginning on page S-7 of this prospectus supplement and under the heading titled “Risk Factors” contained in </w:t>
      </w:r>
      <w:hyperlink r:id="rId4">
        <w:r>
          <w:rPr>
            <w:rStyle w:val="InternetLink"/>
          </w:rPr>
          <w:t>Exhibit 99.1 to our Current Report on Form 8-K, filed with the SEC on August 12, 2026</w:t>
        </w:r>
      </w:hyperlink>
      <w:r>
        <w:rPr>
          <w:rFonts w:ascii="Times New Roman;Times;serif" w:hAnsi="Times New Roman;Times;serif"/>
          <w:b w:val="false"/>
          <w:i/>
          <w:caps w:val="false"/>
          <w:smallCaps w:val="false"/>
          <w:color w:val="596E80"/>
          <w:sz w:val="20"/>
        </w:rPr>
        <w:t>, as updated by our subsequent filings, which are incorporated by reference in this prospectus supplement and accompanying prospectus, along with our consolidated financial statements and notes to those consolidated financial statements and the other information incorporated by reference in this prospectus supplement and the accompanying prospectus, before making an investment decision.</w:t>
      </w:r>
      <w:r>
        <w:rPr>
          <w:rFonts w:ascii="Times New Roman;Times;serif" w:hAnsi="Times New Roman;Times;serif"/>
          <w:b w:val="false"/>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Company Overview</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are a biopharmaceutical company that has developed LYTENAVA as the first and only ophthalmic formulation of bevacizumab approved by the US Food and Drug Administration, or FDA, the European Commission in the European Union, or EU, and the Medicines and Healthcare products Regulatory Agency, or MHRA, in the United Kingdom, or UK, for use in adults for the treatment of wet age-related macular degeneration, or wet AMD. Starting in June 2025, we launched directly into the initial markets of Germany and the UK. In 2026, we expanded into Austria and are planning for launches in other European countries either directly or with a licensing partner. In July 2026, we received FDA approval for LYTENAVA for the treatment of wet AMD in the United States, which results in 12 years of regulatory exclusivity in the United States. We are making preparations to commercially launch in the US prior to December 31, 2026.</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Bevacizumab is a full-length, humanized anti-VEGF (Vascular Endothelial Growth Factor) recombinant monoclonal antibody, or mAb, that inhibits VEGF and associated angiogenic activity. Prior to the approval of LYTENAVA in the US, EU and UK, bevacizumab had only been approved for use in the treatment of various forms of cancer and had not been optimized for use in the treatment of retina diseases. Because there previously were no approved bevacizumab products for the treatment of retinal diseases in the United States and other major markets, we submitted standard biologic therapeutic applications and did not use the biosimilar drug regulatory pathway that would be required if bevacizumab were an approved drug for the targeted disease. Off-label repackaged bevacizumab is a frequently used first-line anti-VEGF treatment in the United States (approximately 2.2 million injections annually) and in Europe (approximately 2.8 million injections annually). We believe LYTENAVA has potential to mitigate risks associated with off-label use of unapproved bevacizumab. We believe there is significant opportunity in the United States, with an estimated $8.5 billion total anti-VEGF retina market, where 55% of physicians state off-label repackaged bevacizumab is the preferred first-line product. We similarly see significant opportunity in Europe with a total anti-VEGF retina market estimated to be approximately $3.6 billion, including approximately 1.52 million treated patients and approximately 8.3 million total anti-VEGF units. It is estimated that 34% of the total anti-VEGF market is off-label bevacizumab (new and maintenance therapy). We estimate the global market for anti-VEGF retina to be greater than $15.9 billion.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May 2024, the European Commission granted a centralized Marketing Authorization for LYTENAVA for the treatment of adults with wet AMD in the EU. The decision applied automatically in all 27 EU Member States, and, within 30 days, also to Iceland, Norway and Liechtenstein. In July 2024, the MHRA granted marketing authorization for LYTENAVA for the treatment of wet AMD in the UK under the new International Recognition Procedure, or IRP, which allows the MHRA to rely on an authorization received for the same product from one of MHRA’s specified Reference Regulators, or RRs, when considering an application for marketing authorization in the UK. LYTENAVA is the first and only authorized ophthalmic formulation of bevacizumab for use in treating wet AMD in the United States, EU and UK.</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Recent Developments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FDA Approval of LYTENAVA</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On July 24, 2026, we announced that the FDA approved LYTENAVA for the treatment of wet AMD. The approval establishes LYTENAVA as the first and only FDA-approved ophthalmic formulation of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bevacizumab for the treatment of wet AMD in the United States. We expect to make LYTENAVA available to eligible patients in the United States prior to December 31, 2026.</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Financial Update</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Based upon preliminary estimates and information available to us as of the date of this prospectus supplement, we estimate that as of June 30, 2026, we had cash and cash equivalents of approximately $11.2 million. This amount has not been audited, reviewed, or compiled by our independent registered public accounting firm. As a result, this amount is preliminary, is subject to normal quarterly closing processes and accounting review, and does not present all information necessary for an understanding of our financial condition as of June 30, 2026. Actual results for the three months ended June 30, 2026 will not be finalized until a later date and may differ materially from the above estimates. Our financial statements for the quarter ended June 30, 2026 will not be available until after this offering is completed, and consequently will not be available to you prior to investing in this offering.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May 2026 Offering</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On May 29, 2026, we completed a registered direct offering to GMS Ventures and Investments, our largest stockholder, or GMS, priced at-the-market under Nasdaq rules for the purchase and sale of an aggregate of 8,539,709 shares of our common stock at an offering price of  $0.5855 per share of common stock, or the May Offering. In connection with the offering, on May 28, 2026, we entered into a warrant amendment with GMS pursuant to which we agreed to amend certain outstanding common stock warrants to purchase up to an aggregate of 15,488,570 shares of common stock previously issued to GMS in January 2025 and May 2025, with a weighted average exercise price of  $1.78 per share, effective upon the closing of the May Offering, such that the amended warrants have an exercise price per share of  $0.5855. The warrants otherwise remain unchanged. We received aggregate net proceeds from the May Offering of approximately $4.9 million.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April 2026 Offering</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On April 23, 2026, we completed a registered direct offering priced at-the-market under Nasdaq rules for the purchase and sale of an aggregate of 16,129,033 shares of our common stock at an offering price of $0.31 per share of common stock. Additionally, in a concurrent private placement, or, together with the registered direct offering, the April Offering, we issued unregistered warrants to purchase up to an aggregate of 16,129,033 shares of common stock at an exercise price of  $0.31 per share. The unregistered warrants became exercisable on July 16, 2026 and will expire on July 21, 2031. We received aggregate net proceeds from the April Offering of approximately $4.2 million. Our potential additional gross proceeds from the unregistered warrants, if fully exercised on a cash basis, will be approximately $5.0 million. No assurance can be given that any of the warrants will be exercised for cash.</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ATM Program</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On May 13, 2026, we entered into an At The Market Offering Agreement with H.C. Wainwright &amp; Co., LLC, or H.C. Wainwright, as agent, or the Sales Agreement, pursuant to which we may issue and sell shares of our common stock, from time to time, having an aggregate offering price of up to $100,000,000. As of July 31, 2026, we had sold 17,005,831 shares of common stock under the Sales Agreement for aggregate gross proceeds of  $14.6 million.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Risks Associated with this Offering</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pPr>
      <w:r>
        <w:rPr>
          <w:rFonts w:ascii="Times New Roman;Times;serif" w:hAnsi="Times New Roman;Times;serif"/>
          <w:b w:val="false"/>
          <w:i w:val="false"/>
          <w:caps w:val="false"/>
          <w:smallCaps w:val="false"/>
          <w:color w:val="596E80"/>
          <w:sz w:val="20"/>
        </w:rPr>
        <w:t xml:space="preserve">Our business is subject to a number of risks of which you should be aware before making an investment decision. These risks are discussed more fully in the “Risk Factors” section of this prospectus supplement immediately following this prospectus supplement summary and in </w:t>
      </w:r>
      <w:hyperlink r:id="rId5">
        <w:r>
          <w:rPr>
            <w:rStyle w:val="InternetLink"/>
          </w:rPr>
          <w:t>Exhibit 99.1 to our Current Report on Form 8-K, filed with the SEC on August 12, 2026</w:t>
        </w:r>
      </w:hyperlink>
      <w:r>
        <w:rPr>
          <w:rFonts w:ascii="Times New Roman;Times;serif" w:hAnsi="Times New Roman;Times;serif"/>
          <w:b w:val="false"/>
          <w:i w:val="false"/>
          <w:caps w:val="false"/>
          <w:smallCaps w:val="false"/>
          <w:color w:val="596E80"/>
          <w:sz w:val="20"/>
        </w:rPr>
        <w:t>, as updated by our subsequent filings which are incorporated by reference in this prospectus supplement and accompanying prospectus. These risks include the following: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There is substantial doubt about our ability to continue as a going concern, which substantial doubt may not be alleviated with the net proceeds from this offering. We will need to raise substantial additional capital to fund the commercialization of LYTENAVA and support our operations until we are able to generate sufficient revenue from the sales of LYTENAVA. This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524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120" w:after="283"/>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additional funding may not be available on acceptable terms or at all. Failure to obtain this necessary capital when needed may force us to delay, limit or terminate our commercialization and product development efforts or other operations;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Raising additional capital, including as a result of this offering, may cause dilution to our securityholders, restrict our operations or require us to relinquish rights to our technologies or product candidates;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524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trading price of our securities is likely to be volatile, and purchasers of our securities could incur substantial losses;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524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you purchase securities in this offering, you will suffer immediate dilution of your investment;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7470" distB="0" distL="254000" distR="0" simplePos="0" locked="0" layoutInCell="1" allowOverlap="1" relativeHeight="25">
                <wp:simplePos x="0" y="0"/>
                <wp:positionH relativeFrom="column">
                  <wp:align>left</wp:align>
                </wp:positionH>
                <wp:positionV relativeFrom="line">
                  <wp:align>top</wp:align>
                </wp:positionV>
                <wp:extent cx="1524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There is no established public trading market for the purchase warrants offered hereby, and we do not expect one to develop; and</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1524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have broad discretion over the use of our cash and cash equivalents, including the net proceeds we receive in this offering, and despite our efforts may not use them in a manner that increases the value of your investment.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524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Our Intellectual Property</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commercial success depends in part on our ability to avoid infringing the proprietary rights of third parties, our ability to obtain and maintain proprietary protection for our technologies where applicable and to prevent others from infringing our proprietary rights. We seek to protect our proprietary technologies by, among other methods, evaluating relevant patents, establishing defensive positions, monitoring EU oppositions and pending intellectual property rights, preparing litigation strategies in view of the US legislative framework and filing United States and international patent applications on technologies, inventions and improvements that are important to our business. As of March 31, 2026, we own three US patents, and twenty-two foreign patents, which relate to formulations developed for our legacy biosimilar program ONS-3010 and ONS-5010/ONS-1045, methods of antibody purification, methods for purifying antibodies to separate isoforms, methods of use, methods of reducing high molecular weight species, and modulating afucosylated species as well as efficiently determining the amino acid sequence of antibodies. Our Patent Cooperation Treaty, or PCT, Application No. PCT/US2017/016040, was filed in 2017. A US patent in this family is granted and expected to expire no earlier than 2037. Our PCT Application No. PCT/US2017/012349, was filed in 2017. Patents are granted in Australia and Japan and expected to expire no earlier than 2037. Our Application No. PCT/US2016/068847 was filed in 2016. Patents in this family are granted in Germany, France, United Kingdom, India, and Japan, and expected to expire no earlier than 2036. Our PCT Application No. PCT/US2016/014252 was filed in 2016. Patents in this family are granted in Germany, France, United Kingdom, and the US, and expected to expire no earlier than 2036. Our PCT Application No. PCT/US2017/016549 was filed in 2017. A patent in this family is granted in Japan, and expected to expire no earlier than 2037. We also rely on trade secrets, know-how and continuing technological innovation to develop and maintain our proprietary position.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United States Patent and Trademark Office in examining and granting a patent or may be shortened if a patent is terminally disclaimed over a commonly owned patent or a patent naming a common inventor and having an earlier expiration date.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Company Information</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We initially incorporated in January 2010 in New Jersey as Oncobiologics, Inc., and in October 2015, we reincorporated in Delaware by merging with and into a Delaware corporation. In November 2018, we changed our name to Outlook Therapeutics, Inc. Our headquarters are located at 111 S. Wood Avenue, Unit #100, Iselin, New Jersey 08830, and our telephone number at that location is (609) 619-3990. Our website address is www.outlooktherapeutics.com. The information contained on, or that can be accessed through, our website is not part of, and is not incorporated by reference into this prospectus supplement or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120" w:after="954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accompanying prospectus, and you should not consider it part of this prospectus supplement or the accompanying prospectus. Our website address is included in this prospectus supplement as an inactive textual reference only.</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Implications of Being a Smaller Reporting Company</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We are a smaller reporting company as defined in the Exchange Act. We may take advantage of certain of the scaled disclosures available to smaller reporting companies and will be able to take advantage of these scaled disclosures for so long as (i) our voting and non-voting common stock held by non-affiliates is less than $250 million measured on the last business day of our second fiscal quarter or (ii) our annual revenue is less than $100 million during the most recently completed fiscal year and our voting and non-voting common stock held by non-affiliates is less than $700 million measured on the last business day of our second fiscal quarter. To the extent we take advantage of any reduced disclosure obligations, it may make the comparison of our financial statements with other public companies difficult or impossible.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THE OFFERING</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 xml:space="preserve">Common stock offered by us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55,555,556 shares.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 xml:space="preserve">Purchase warrants offered </w:t>
        <w:br/>
        <w:t>by us</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Purchase warrants to purchase up to 55,555,556 shares of our common stock. Each purchase warrant will have an initial exercise price per share of  $1.10, subject to certain adjustments, will become exercisable immediately, and will expire five years from the date of issuance. For more information, see the section titled “Description of Securities We Are Offering—Purchase Warrants” on page S-15 of this prospectus supplement. This prospectus supplement also relates to the offering of the shares of our common stock issuable upon exercise of the purchase warrants.</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Option to purchase additional securities</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have granted the underwriters an option, exercisable for a period of 30 days after the date of this prospectus supplement, to purchase up to an additional 8,333,333 shares of common stock and/or purchase warrants to purchase 8,333,333 shares of our common stock.</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 xml:space="preserve">Common stock to be outstanding immediately after this offering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242,672,554 shares (or 251,005,887 shares if the underwriters exercise in full their option to purchase up to an additional 8,333,333 shares of our common stock, in each case, assuming none of the purchase warrants issued in this offering are exercised).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estimate that the net proceeds from this offering, excluding the proceeds, if any, from the exercise of the purchase warrants offered hereby, will be approximately $51.1 million (or approximately $58.8 million if the underwriters exercise in full their option to purchase up to 8,333,333 additional shares of common stock) after deducting underwriting discounts and commissions and estimated offering expenses payable by us.</w:t>
      </w:r>
    </w:p>
    <w:p>
      <w:pPr>
        <w:pStyle w:val="TextBody"/>
        <w:bidi w:val="0"/>
        <w:spacing w:lineRule="atLeast" w:line="230" w:before="120" w:after="283"/>
        <w:ind w:left="475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intend to use the net proceeds from this offering, together with our cash and cash equivalents, to fund the commercial launch of LYTENAVA in the United States as well as for working capital and general corporate purposes. See “Use of Proceeds” for additional information.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Investing in our securities involves a high degree of risk. Before making an investment decision, please read the information contained in and incorporated by reference in this prospectus supplement and the accompanying prospectus under the section titled “Risk Factors” beginning on page S-7 of this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 xml:space="preserve">Nasdaq Capital Market </w:t>
        <w:br/>
        <w:t xml:space="preserve">symbol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common stock is listed on The Nasdaq Capital Market under the symbol “OTLK.” There is no established public trading market for the purchase warrants and we do not expect a market to develop. In addition, we do not intend to apply for listing of the purchase warrants on any securities exchange or recognized trading system.</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The number of shares of our common stock to be outstanding after this offering is based on 187,116,998 shares of our common stock outstanding as of March 31, 2026, after giving pro forma effect to (i) the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120" w:after="390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issuance and sale of 16,129,033 shares of common stock in the April Offering, (ii) the issuance and sale of 8,539,709 shares of common stock in the May Offering, (iii) the exercise of warrants to purchase 16,495,000 shares of common stock between April 1, 2026 and July 31, 2026, (iv) the issuance of 24,333,206 shares of common stock upon the conversion of approximately $9.8 million in principal and accrued interest under our prior convertible note between April 1, 2026 and July 31, 2026 and (v) the issuance and sale of 17,005,831 shares of common stock under our Sales Agreement between April 1, 2026 and July 31, 2026 for aggregate gross proceeds of approximately $14.6 million. This number excludes the following: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6,355,161 shares of common stock issuable upon exercise of outstanding stock options granted under our 2024 Equity Incentive Plan, or the 2024 Plan, as of March 31, 2026, with a weighted-average exercise price of  $6.70 per share;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524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1,134,419 shares of common stock issuable upon exercise of stock options granted between April 1, 2026 and July 31, 2026 under our 2024 Plan, with a weighted average exercise price of $1.42 per share;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524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1,528,065 shares of common stock reserved for future issuance under the 2024 Plan as of March 31, 2026;</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524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47,407 shares of common stock reserved for future issuance under our 2016 Employee Stock Purchase Plan, or the ESPP, as of March 31, 2026, as well as any future automatic annual increases in the number of shares of common stock reserved for issuance under the ESPP;</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524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57,591,978 shares of common stock issuable upon exercise of outstanding warrants as of March 31, 2026 (after giving effect to the warrants issued in the April Offering and the exercises discussed above) with a weighted-average exercise price of  $1.98 per share;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524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up to $85.4 million of shares of our common stock remaining to be sold under the Sales Agreement as of August 1, 2026.</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524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Unless otherwise indicated, all information in this prospectus supplement assumes: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no exercise of outstanding options or warrants to purchase our common stock;</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524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no exercise by the underwriters of their option to purchase from us up to an additional 8,333,333 shares of common stock;</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524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no issuance of shares available, or that may become available, for future issuance under our equity compensation plans; and</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524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no exercise of the purchase warrants to be issued in this offering.</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524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RISK FACTORS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pPr>
      <w:r>
        <w:rPr>
          <w:rFonts w:ascii="Times New Roman;Times;serif" w:hAnsi="Times New Roman;Times;serif"/>
          <w:b w:val="false"/>
          <w:i/>
          <w:caps w:val="false"/>
          <w:smallCaps w:val="false"/>
          <w:color w:val="596E80"/>
          <w:sz w:val="20"/>
        </w:rPr>
        <w:t xml:space="preserve">Investing in our common stock involves a high degree of risk. Before you decide to invest in our securities, you should carefully consider the following risk factors and the risk factors in </w:t>
      </w:r>
      <w:hyperlink r:id="rId6">
        <w:r>
          <w:rPr>
            <w:rStyle w:val="InternetLink"/>
          </w:rPr>
          <w:t>Exhibit 99.1 to our Current Report on Form 8-K, filed with the SEC on August 12, 2026</w:t>
        </w:r>
      </w:hyperlink>
      <w:r>
        <w:rPr>
          <w:rFonts w:ascii="Times New Roman;Times;serif" w:hAnsi="Times New Roman;Times;serif"/>
          <w:b w:val="false"/>
          <w:i/>
          <w:caps w:val="false"/>
          <w:smallCaps w:val="false"/>
          <w:color w:val="596E80"/>
          <w:sz w:val="20"/>
        </w:rPr>
        <w:t>, as updated by our subsequent filings, which are incorporated by reference into this prospectus supplement and accompanying prospectus in their entirety, together with all of the other information contained in this prospectus supplement and the accompanying prospectus or incorporated by reference into this prospectus supplement and the accompanying prospectus. The risks and uncertainties described in these documents are not the only ones we face. Other risks and uncertainties, including those that we do not currently consider material, may impair our business. If any of the risks discussed below or incorporated by reference actually occur, our business, financial condition, operating results or cash flows could be materially adversely affected. This could cause the value of our securities to decline, and you may lose all or part of your investment.</w:t>
      </w:r>
      <w:r>
        <w:rPr>
          <w:rFonts w:ascii="Times New Roman;Times;serif" w:hAnsi="Times New Roman;Times;serif"/>
          <w:b w:val="false"/>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Risks Related to this Offering</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 xml:space="preserve">There is substantial doubt about our ability to continue as a going concern, which substantial doubt may not be alleviated with the net proceeds of this offering. We will continue to need to raise substantial additional capital to fund the commercialization of LYTENAVA and support our operations until we are able to generate sufficient revenue from the sales of LYTENAVA. This additional funding may not be available on acceptable terms or at all. Failure to obtain this necessary capital when needed may force us to delay, limit or terminate our commercialization and product development efforts or other operations.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Developing and commercializing pharmaceutical products are expensive, risky and lengthy processes. LYTENAVA has been approved for marketing for the treatment of wet AMD in adults in the US, EU and UK, however, we have not generated material revenue from sales of LYTENAVA. We expect to incur increased expenses in connection with our ongoing activities, particularly as we prepare to commercially launch in the US and continue with our commercial efforts in the EU and UK.</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our existing cash and cash equivalents, together with the net proceeds of this offering, are not adequate to fund our currently planned operations through at least the 12 months from the date of this prospectus supplement, there may be substantial doubt about our ability to continue as a going concern following the completion of this offering. We will require substantial additional capital to continue to operate as a going concern. Although we continue to pursue discussions with additional potential strategic partners for LYTENAVA outside of the US, there is no guarantee that we will be successful in reaching any such agreement, nor that such agreement, if successful, will cover the anticipated commercialization costs for LYTENAVA. Our operating plan may also change as a result of many factors currently unknown to us, and we may need to seek additional funds sooner than planned, through public or private equity or debt financings, third-party funding, marketing and distribution arrangements, as well as through other collaborations, strategic alliances and licensing arrangements, or a combination of these approaches. Even if we believe we have sufficient funds for our current or future operating plans, we may seek additional capital if market conditions are favorable or if we have specific strategic considerations.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We may experience difficulties in accessing the capital markets due to external factors beyond our control, such as volatility in the equity markets for emerging biotechnology companies and general economic and market conditions both in the US and abroad. For example, our ability to raise additional capital may be adversely impacted by global economic conditions and disruptions to and volatility in the credit and financial markets in the US and worldwide, such as has been experienced recently due in part to, among other things, the impacts of inflation, ongoing overseas conflict, and disruptions in access to bank deposits and lending commitments due to bank failure. We cannot be certain that we will be able to obtain financing on terms acceptable to us, or at all. Our failure to obtain adequate and timely funding will adversely affect our business and our ability to launch and commercialize LYTENAVA and develop our technology and product candidates. Moreover, the terms of any financing may negatively impact the holdings or the rights of our stockholders, and the issuance of additional securities, whether equity or debt, by us or the possibility of such issuance may cause the market price of our securities to decline. The incurrence of indebtedness could result in increased fixed payment obligations, and we may be required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be required to relinquish rights to some of our technologies or product candidates or otherwise agree to terms unfavorable to us, in order to obtain necessary funding, any of which may harm our business, operating results and prospects. If we are unable to obtain funding on a timely basis, we may be required to significantly curtail, delay or discontinue the commercialization of LYTENAVA. We may also be unable to expand our operations or otherwise capitalize on our business opportunities, as desired, which could harm our business, financial condition and results of operations. Additionally, if we are unable to obtain the substantial additional funding needed to operate our business, our business and prospects would be materially and adversely affected, and we may be required to cease operations entirely, liquidate all or a portion of our assets, and/or seek protection under the US Bankruptcy Code, and our stockholders may lose all or part of their investment.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of March 31, 2026, we had $19.8 million of principal, accrued interest and exit fees outstanding under an unsecured promissory note issued to Atlas Sciences LLC, or Atlas, in March 2026, or the March 2026 Note. The March 2026 Note bears interest at the prime rate, as published in The Wall Street Journal, plus 3%, subject to a minimum rate of 9.5%, and which matures on June 16, 2027. Beginning on September 16, 2026, Atlas has the right to redeem up to $3.0 million of the outstanding balance under the March 2026 Note per calendar quarter. All cash payments made by us under the March 2026 Note, including prepayments, redemptions, or repayment at maturity, are subject to a 7.5% exit fee.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Raising additional capital, including as a result of this offering, may cause dilution to our securityholders, restrict our operations or require us to relinquish rights to our technologies or product candidates.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Until such time, if ever, as we can generate sufficient product revenues, we expect to finance our cash needs through a combination of equity and debt financings, as well as selectively continuing to enter into collaborations, strategic alliances and licensing arrangements. We do not currently have any committed external source of funding. To the extent that we raise additional capital through the sale of equity, including in this offering or via our Sales Agreement, or convertible debt securities, your ownership interest will be diluted, and the terms of these securities may include liquidation or other preferences that adversely affect your rights as a securityholder.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Atlas has the right to redeem up to $3.0 million of the outstanding balance under the March 2026 Note per calendar quarter. All cash payments made by us under the March 2026 Note, including prepayments, redemptions, or repayment at maturity, are subject to a 7.5% exit fee. The March 2026 Note is unsecured and contains customary representations and warranties, affirmative and negative covenants, and provisions governing trigger events, events of default, and remedies. Trigger events include, among other things, failure to make payments when due, insolvency or bankruptcy-related events, the occurrence of certain fundamental transactions without Atlas’ consent, covenant breaches, and material misrepresentations. Upon the occurrence of certain trigger events, Atlas has the right to increase the outstanding balance of the March 2026 Note, subject to contractual limitations, and if a trigger event is not cured within specified time periods, it may result in an event of default. Upon an event of default, Atlas has the right to accelerate the outstanding balance, apply default interest of up to 22% per annum, and pursue available remedies.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Additional debt financing, if available, may involve agreements that include covenants limiting or restricting our ability to take specific actions, such as incurring additional debt, making capital expenditures or declaring dividends, and may be secured by all or a portion of our assets. If we secure funds for the commercialization of LYTENAVA or development of any future product candidate through entering into collaborations, strategic alliances or licensing arrangements with third parties, we may have to relinquish additional valuable rights to our technologies, future revenue streams, research programs or product candidates or grant licenses on terms that may not be favorable to us. If we are unable to raise additional funds when needed, we may be required to terminate commercialization efforts for LYTENAVA or future product development, grant rights to develop and market LYTENAVA or other product candidates that we would otherwise prefer to develop and market ourselves or cease operations altogether.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The trading price of our securities is likely to be volatile, and purchasers of our securities could incur substantial losses.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The market price of our securities has been and will likely continue to be volatile. The stock market in general and the market in which we operate have experienced extreme volatility that has often been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unrelated to the operating performance of particular companies. As a result of this volatility, investors may not be able to sell their securities at a profit. The market price of our securities could be subject to wide fluctuations in response to a variety of factors, including but not limited to:</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level of LYTENAVA sales in the US, EU and UK;</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524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perception of limited market sizes or pricing for LYTENAVA or any of our other product candidates;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524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failure to successfully develop and commercialize LYTENAVA or any of our other product candidates;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524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inability to obtain additional funding;</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524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success of competitive services, products or technologies;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524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adverse results or delays in preclinical or clinical trials;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524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delay in filing an IND, BLA or other regulatory submission for our product candidates when planned, and any adverse development or perceived adverse development with respect to the applicable regulatory agency’s review of that IND, BLA or other regulatory submission;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524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post-marketing safety issues relating to our product candidates generally;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524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failure to maintain our existing strategic collaborations or enter into new collaborations;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524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failure by us or our licensors and strategic collaboration partners to prosecute, maintain or enforce our intellectual property rights;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524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changes in laws or regulations applicable to our products;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524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inability to obtain adequate product supply for our product candidates or the inability to do so at acceptable prices;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524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adverse regulatory decisions;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524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introduction of new products, services or technologies by our competitors;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524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failure to meet or exceed financial projections we may provide to the public;</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524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failure to meet or exceed the financial projections of the investment community;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524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perception of the pharmaceutical industry by the public, legislatures, regulators and the investment community;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524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announcements of significant acquisitions, strategic partnerships, joint ventures or capital commitments by us, our strategic collaboration partners or our competitors;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524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disputes or other developments relating to proprietary rights, including patents, litigation matters and our ability to obtain patent protection for our technologies;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524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additions or departures of key scientific or management personnel;</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524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significant lawsuits, including stockholder litigation and litigation filed by us or filed against us pertaining to patent infringement or other violations of intellectual property rights;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524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outcomes of any citizens petitions filed by parties seeking to restrict or limit the approval of LYTENAVA in the US, EU or UK, or any of our product candidates that may be approved;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524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securities or industry analysts do not publish research or reports about our business or if they issue an adverse or misleading opinion regarding our stock;</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524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changes in the market valuations of similar companies;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524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general economic, industry or market conditions;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524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sales of our securities by us or our stockholders in the future;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524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trading volume of our securities;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524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issuance of patents to third parties that could prevent our ability to commercialize our product candidates;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0" distB="0" distL="254000" distR="0" simplePos="0" locked="0" layoutInCell="1" allowOverlap="1" relativeHeight="65">
                <wp:simplePos x="0" y="0"/>
                <wp:positionH relativeFrom="column">
                  <wp:align>left</wp:align>
                </wp:positionH>
                <wp:positionV relativeFrom="line">
                  <wp:posOffset>635</wp:posOffset>
                </wp:positionV>
                <wp:extent cx="1524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loss of one or more employees constituting our leadership team;</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524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changes in regulatory requirements that could make it more difficult for us to develop our product candidates;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524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pPr>
      <w:r>
        <w:rPr>
          <w:rFonts w:ascii="Times New Roman;Times;serif" w:hAnsi="Times New Roman;Times;serif"/>
          <w:b w:val="false"/>
          <w:i w:val="false"/>
          <w:caps w:val="false"/>
          <w:smallCaps w:val="false"/>
          <w:color w:val="596E80"/>
          <w:sz w:val="20"/>
        </w:rPr>
        <w:t xml:space="preserve">the other factors described in this “Risk Factors” section or the risks discussed in </w:t>
      </w:r>
      <w:hyperlink r:id="rId7">
        <w:r>
          <w:rPr>
            <w:rStyle w:val="InternetLink"/>
          </w:rPr>
          <w:t>Exhibit 99.1 to our Current Report on Form 8-K, filed with the SEC on August 12, 2026</w:t>
        </w:r>
      </w:hyperlink>
      <w:r>
        <w:rPr>
          <w:rFonts w:ascii="Times New Roman;Times;serif" w:hAnsi="Times New Roman;Times;serif"/>
          <w:b w:val="false"/>
          <w:i w:val="false"/>
          <w:caps w:val="false"/>
          <w:smallCaps w:val="false"/>
          <w:color w:val="596E80"/>
          <w:sz w:val="20"/>
        </w:rPr>
        <w:t>, as updated by our subsequent filings, which are incorporated by reference into this prospectus supplement and accompanying prospectus.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524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and two of our current and former officers have been named as defendants in a class action lawsuit filed in the US District Court for the District of New Jersey and certain of our current and former officers and directors were named as defendants in a shareholder derivative action filed in the District Court of the District of Delaware. Such lawsuits have often been instituted against companies, including us, whose securities have experienced periods of volatility in market price. The pending lawsuits and any lawsuits brought against us in the future could result in substantial costs, which would hurt our financial condition and results of operations and divert management’s attention and resources, which could preclude or delay commercialization efforts.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addition, biopharmaceutical companies in particular have experienced extreme price and volume fluctuations that have often been unrelated or disproportionate to the operating performance of these companies. Broad market and industry factors may negatively affect the market price of our securities, regardless of our actual operating performance.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If you purchase securities in this offering, you will suffer immediate dilution of your investment.</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combined public offering price per share and accompanying purchase warrant in this offering is higher than the net tangible book value per share of our common stock. Therefore, if you purchase securities in this offering, you will pay a combined offering price per share and accompanying purchase warrant that substantially exceeds our pro forma as adjusted net tangible book value per share after giving effect to this offering. To the extent outstanding options or warrants are exercised, you will incur further dilution. Our net tangible book deficit as of March 31, 2026 was approximately $29.0 million, or $0.28 per share. After giving effect to: the pro forma adjustments described in the section of this prospectus supplement titled “Dilution” and the sale of the shares of our common stock and accompanying purchase warrants in this offering at a combined price of  $0.99 per share and accompanying purchase warrant, and after deducting the underwriting discounts and commissions and estimated offering expenses payable by us (but excluding the shares of common stock to be issued and the proceeds received, if any, from exercises of the purchase warrants offered hereby), you will experience immediate dilution of  $0.75 per share, representing the difference between our pro forma as adjusted net tangible book value per share as of March 31, 2026 after giving effect to this offering (but without giving effect to the exercise of the purchase warrants offered hereby). If the holders of the purchase warrants exercise the warrants in full, our pro forma as adjusted net tangible book value per share after this offering would be $0.39, representing an immediate increase in pro forma as adjusted net tangible book value per share of  $0.35 to existing stockholders and immediate dilution in pro forma as adjusted net tangible book value per share of $0.60 to new investors purchasing securities in this offering. See the section of this prospectus supplement titled “Dilution” for a more detailed discussion of the dilution you will incur if you purchase securities in this offering.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We have broad discretion over the use of our cash and cash equivalents, including the net proceeds we receive in this offering, and despite our efforts may not use them in a manner that increases the value of your investment.</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600"/>
        <w:ind w:left="1393" w:right="0" w:hanging="0"/>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There is no public market for the purchase warrants being offered by us in this offering.</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There is no established public trading market for the purchase warrants being sold in this offering, and we do not expect a market to develop. In addition, we do not intend to apply to list the purchase warrants on any securities exchange or recognized trading system. Without an active market, the liquidity of the purchase warrants will be limited.</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The purchase warrants are speculative in nature. You may not be able to recover your investment in the purchase warrants, and the purchase warrants may expire worthless.</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purchase warrants do not confer any rights of our common stock ownership on their holders, such as voting rights, but rather merely represent the right to acquire shares of our common stock at a fixed price for a limited period of time. Specifically, commencing on the date of issuance, holders of purchase warrants may exercise their right to acquire the underlying common stock and pay an exercise price per share equal to $1.10, subject to certain adjustments, and the purchase warrants will expire five years after the date of issuance. Moreover, following this offering, the market value of the purchase warrants, if any, is uncertain and there can be no assurance that the market value of the purchase warrants will equal or exceed their imputed offering price. In addition, there can be no assurance that the market price of our common stock will equal or exceed the exercise price of the purchase warrants for a sustained period of time or at all, and, consequently, it may not ever be profitable for holders of the purchase warrants to exercise the purchase warrants.</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Holders of the purchase warrants will have no rights as common stockholders until they acquire our common stock.</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Until you acquire shares of our common stock upon exercise of the purchase warrants, you will have no rights with respect to our common stock issuable upon exercise of the purchase warrants, including the right to receive dividend payments, vote or respond to tender offers. Upon exercise of your purchase warrants, you will be entitled to exercise the rights of a common stockholder only as to matters for which the record date occurs after the exercise date.</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If we do not maintain a current and effective registration statement relating to the shares of our common stock issuable upon exercise of the purchase warrants, holders will only be able to exercise such purchase warrants on a “cashless basis.”</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If we do not maintain a current and effective registration statement relating to the shares of our common stock issuable upon exercise of the purchase warrants at the time that holders wish to exercise such purchase warrants, they will only be able to exercise them on a “cashless basis” provided that an exemption from registration is available. As a result, the number of shares of our common stock that holders will receive upon exercise of the purchase warrants will be fewer than it would have been had such holder exercised such purchase warrants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purchase warrants for cash if a current and effective registration statement relating to the shares of our common stock issuable upon exercise of the purchase warrants is available.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
      <w:bookmarkEnd w:id="8"/>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4280"/>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USE OF PROCEEDS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estimate that the net proceeds to us from this offering, excluding the proceeds, if any, from the exercise of the purchase warrants offered hereby, will be approximately $51.1 million, or approximately $58.8 million if the underwriters exercise in full their option to purchase additional shares of common stock, in each case after deducting underwriting discounts and commissions and estimated offering expenses payable by us. If all of the purchase warrants sold in this offering were to be exercised in cash at an exercise price of  $1.10 per share, we would receive additional net proceeds of approximately $57.4 million, or approximately $66.1 million if the underwriters exercise in full their option to purchase additional purchase warrants and such warrants were exercised in cash. We cannot predict when or if the purchase warrants will be exercised, and it is possible that the purchase warrants may expire and never be exercised.</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intend to use the net proceeds from this offering, together with our cash and cash equivalents, to fund the commercial launch of LYTENAVA in the United States as well as for working capital and general corporate purposes. These expected uses represent our intentions based upon our current plans and business conditions, which could change in the future as our plans and business conditions evolve. The amounts and timing of these expenditures will depend on numerous factors, including the development of our current business initiatives. As of the date of this prospectus supplement, we cannot specify with certainty all of the particular uses for the net proceeds from this offering. Our management has broad discretion to use our cash and cash equivalents, including the net proceeds we receive in this offering, to fund our operations and investors will be relying upon the judgment of our management regarding the application of these proceeds. The failure by our management to apply these funds effectively could harm our business and cause the price of our common stock to decline, perhaps significantly. The amounts and timing of our actual expenditures will depend on numerous factors, including factors described under “Risk Factors” in this prospectus supplement and the documents incorporated by reference herein and therein. Pending these uses, we expect to invest the net proceeds in short-term, interest bearing obligations, certificates of deposit or direct or guaranteed obligations of the United States. The goal with respect to the investment of these net proceeds is capital preservation and liquidity so that such funds are readily available to fund our operations.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Based on the planned use of proceeds described above, we believe that the net proceeds from this offering, together with our current cash and cash equivalents, will be sufficient to enable us to fund our operating expenses and capital expenditure requirements into the second quarter of 2027. We have based this estimate on assumptions that may prove to be incorrect, and we could use our available capital resources sooner than we currently expect.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DIL"/>
      <w:bookmarkEnd w:id="9"/>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DILUTION</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you invest in our common stock in this offering, your interest will be diluted immediately to the extent of the difference between the public offering price per share you pay for in this offering and the as adjusted net tangible book value per share of our common stock after this offering. Our net tangible book deficit as of March 31, 2026 was approximately $29.0 million, or $0.28 per share of common stock. Net tangible book value is total assets minus the sum of liabilities and intangible assets. Net tangible book value per share is net tangible book value divided by the total number of shares of our common stock outstanding as of March 31, 2026.</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pro forma net tangible book value as of March 31, 2026 was approximately $8.2 million, or $0.04 per share of common stock. Pro forma net tangible book value reflects total tangible assets minus total liabilities, adjusted to give effect to (i) the issuance and sale of 16,129,033 shares of common stock in the April Offering resulting in approximately $4.2 million of net proceeds, (ii) the issuance and sale of 8,539,709 shares of common stock in the May Offering resulting in approximately $4.9 million in net proceeds, (iii) the exercise of warrants to purchase 16,495,000 shares of common stock resulting in approximately $4.1 million in net proceeds, (iv) the issuance of 24,333,206 shares of common stock upon the conversion of  $9.8 million in principal and accrued interest under our prior convertible note and (v) the issuance and sale of 17,005,831 shares of common stock under our Sales Agreement resulting in approximately $14.1 million of net proceeds, each occurring subsequent to March 31, 2026.</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Dilution in net tangible book value per share represents the difference between the amount per share paid by purchasers of securities in this offering, and the pro forma as adjusted net tangible book value per share of our common stock immediately after completion of this offering.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After giving effect to the issuance and sale of 55,555,556 shares of our common stock and accompanying purchase warrants to purchase an additional 55,555,556 shares of our common stock in this offering at the combined public offering price of  $0.99 per share and accompanying warrant (excluding the shares of common stock to be issued and the proceeds received, if any, from exercises of the purchase warrants), and after deducting the underwriting discounts and commissions and estimated offering expenses payable by us, our pro forma as adjusted net tangible book value as of March 31, 2026 would have been approximately $59.3, or $0.24 per share. This represents an immediate increase in the net tangible book value of  $0.20 per share to existing stockholders and immediate dilution in net tangible book value of $0.75 per share to the investors purchasing securities in this offering.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following table illustrates this dilution on a per share basis to the investors participating in this offering without giving effect to the option to purchase additional shares granted to the underwriters:</w:t>
      </w:r>
      <w:r>
        <w:rPr>
          <w:rFonts w:ascii="Times New Roman;Times;serif" w:hAnsi="Times New Roman;Times;serif"/>
          <w:b w:val="false"/>
          <w:i w:val="false"/>
          <w:caps w:val="false"/>
          <w:smallCaps w:val="false"/>
          <w:color w:val="596E8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5983"/>
        <w:gridCol w:w="109"/>
        <w:gridCol w:w="109"/>
        <w:gridCol w:w="109"/>
        <w:gridCol w:w="226"/>
        <w:gridCol w:w="656"/>
        <w:gridCol w:w="109"/>
        <w:gridCol w:w="109"/>
        <w:gridCol w:w="109"/>
        <w:gridCol w:w="109"/>
        <w:gridCol w:w="226"/>
        <w:gridCol w:w="57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5983" w:type="dxa"/>
            <w:tcBorders/>
            <w:shd w:fill="CCEEFF" w:val="clear"/>
            <w:vAlign w:val="center"/>
          </w:tcPr>
          <w:p>
            <w:pPr>
              <w:pStyle w:val="TableContents"/>
              <w:bidi w:val="0"/>
              <w:spacing w:before="0" w:after="0"/>
              <w:jc w:val="left"/>
              <w:rPr/>
            </w:pPr>
            <w:r>
              <w:rPr/>
              <w:t xml:space="preserve">Combined public offering price per share and accompanying purchase warrant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5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70" w:type="dxa"/>
            <w:tcBorders/>
            <w:shd w:fill="CCEEFF" w:val="clear"/>
            <w:vAlign w:val="center"/>
          </w:tcPr>
          <w:p>
            <w:pPr>
              <w:pStyle w:val="TableContents"/>
              <w:bidi w:val="0"/>
              <w:spacing w:before="0" w:after="283"/>
              <w:jc w:val="right"/>
              <w:rPr/>
            </w:pPr>
            <w:r>
              <w:rPr/>
              <w:t xml:space="preserve">0.99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83" w:type="dxa"/>
            <w:tcBorders/>
            <w:vAlign w:val="center"/>
          </w:tcPr>
          <w:p>
            <w:pPr>
              <w:pStyle w:val="TableContents"/>
              <w:bidi w:val="0"/>
              <w:spacing w:before="0" w:after="0"/>
              <w:jc w:val="left"/>
              <w:rPr/>
            </w:pPr>
            <w:r>
              <w:rPr/>
              <w:t xml:space="preserve">Net tangible book deficit per share as of March 31,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56" w:type="dxa"/>
            <w:tcBorders/>
            <w:vAlign w:val="center"/>
          </w:tcPr>
          <w:p>
            <w:pPr>
              <w:pStyle w:val="TableContents"/>
              <w:bidi w:val="0"/>
              <w:spacing w:before="0" w:after="283"/>
              <w:jc w:val="right"/>
              <w:rPr/>
            </w:pPr>
            <w:r>
              <w:rPr/>
              <w:t>(0.28)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70"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98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pPr>
            <w:r>
              <w:rPr/>
              <w:t xml:space="preserve">Increase per share attributable to the pro forma adjustments described above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596E80"/>
            </w:tcBorders>
            <w:shd w:fill="CCEEFF" w:val="clear"/>
            <w:tcMar>
              <w:bottom w:w="50" w:type="dxa"/>
            </w:tcMar>
            <w:vAlign w:val="center"/>
          </w:tcPr>
          <w:p>
            <w:pPr>
              <w:pStyle w:val="TableContents"/>
              <w:bidi w:val="0"/>
              <w:spacing w:before="0" w:after="283"/>
              <w:jc w:val="right"/>
              <w:rPr/>
            </w:pPr>
            <w:r>
              <w:rPr/>
              <w:t>​</w:t>
            </w:r>
          </w:p>
        </w:tc>
        <w:tc>
          <w:tcPr>
            <w:tcW w:w="656" w:type="dxa"/>
            <w:tcBorders>
              <w:bottom w:val="single" w:sz="2" w:space="0" w:color="596E80"/>
            </w:tcBorders>
            <w:shd w:fill="CCEEFF" w:val="clear"/>
            <w:tcMar>
              <w:bottom w:w="50" w:type="dxa"/>
            </w:tcMar>
            <w:vAlign w:val="center"/>
          </w:tcPr>
          <w:p>
            <w:pPr>
              <w:pStyle w:val="TableContents"/>
              <w:bidi w:val="0"/>
              <w:spacing w:before="0" w:after="283"/>
              <w:jc w:val="right"/>
              <w:rPr/>
            </w:pPr>
            <w:r>
              <w:rPr/>
              <w:t>0.32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0"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83" w:type="dxa"/>
            <w:tcBorders/>
            <w:vAlign w:val="center"/>
          </w:tcPr>
          <w:p>
            <w:pPr>
              <w:pStyle w:val="TableContents"/>
              <w:bidi w:val="0"/>
              <w:spacing w:before="0" w:after="0"/>
              <w:ind w:left="400" w:right="0" w:hanging="0"/>
              <w:jc w:val="left"/>
              <w:rPr/>
            </w:pPr>
            <w:r>
              <w:rPr/>
              <w:t xml:space="preserve">Pro forma net tangible book value per share as of March 31,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56" w:type="dxa"/>
            <w:tcBorders/>
            <w:vAlign w:val="center"/>
          </w:tcPr>
          <w:p>
            <w:pPr>
              <w:pStyle w:val="TableContents"/>
              <w:bidi w:val="0"/>
              <w:spacing w:before="0" w:after="283"/>
              <w:jc w:val="right"/>
              <w:rPr/>
            </w:pPr>
            <w:r>
              <w:rPr/>
              <w:t>0.04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70"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98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pPr>
            <w:r>
              <w:rPr/>
              <w:t xml:space="preserve">Increase per share as a result of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596E80"/>
            </w:tcBorders>
            <w:shd w:fill="CCEEFF" w:val="clear"/>
            <w:tcMar>
              <w:bottom w:w="50" w:type="dxa"/>
            </w:tcMar>
            <w:vAlign w:val="center"/>
          </w:tcPr>
          <w:p>
            <w:pPr>
              <w:pStyle w:val="TableContents"/>
              <w:bidi w:val="0"/>
              <w:spacing w:before="0" w:after="283"/>
              <w:jc w:val="right"/>
              <w:rPr/>
            </w:pPr>
            <w:r>
              <w:rPr/>
              <w:t>​</w:t>
            </w:r>
          </w:p>
        </w:tc>
        <w:tc>
          <w:tcPr>
            <w:tcW w:w="656" w:type="dxa"/>
            <w:tcBorders>
              <w:bottom w:val="single" w:sz="2" w:space="0" w:color="596E80"/>
            </w:tcBorders>
            <w:shd w:fill="CCEEFF" w:val="clear"/>
            <w:tcMar>
              <w:bottom w:w="50" w:type="dxa"/>
            </w:tcMar>
            <w:vAlign w:val="center"/>
          </w:tcPr>
          <w:p>
            <w:pPr>
              <w:pStyle w:val="TableContents"/>
              <w:bidi w:val="0"/>
              <w:spacing w:before="0" w:after="283"/>
              <w:jc w:val="right"/>
              <w:rPr/>
            </w:pPr>
            <w:r>
              <w:rPr/>
              <w:t xml:space="preserve">0.20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0"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983" w:type="dxa"/>
            <w:tcBorders>
              <w:bottom w:val="single" w:sz="2" w:space="0" w:color="FFFFFF"/>
            </w:tcBorders>
            <w:tcMar>
              <w:bottom w:w="50" w:type="dxa"/>
            </w:tcMar>
            <w:vAlign w:val="center"/>
          </w:tcPr>
          <w:p>
            <w:pPr>
              <w:pStyle w:val="TableContents"/>
              <w:bidi w:val="0"/>
              <w:spacing w:before="0" w:after="0"/>
              <w:jc w:val="left"/>
              <w:rPr/>
            </w:pPr>
            <w:r>
              <w:rPr/>
              <w:t xml:space="preserve">Pro forma as adjusted net tangible book value per share after this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65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596E80"/>
            </w:tcBorders>
            <w:tcMar>
              <w:bottom w:w="50" w:type="dxa"/>
            </w:tcMar>
            <w:vAlign w:val="center"/>
          </w:tcPr>
          <w:p>
            <w:pPr>
              <w:pStyle w:val="TableContents"/>
              <w:bidi w:val="0"/>
              <w:spacing w:before="0" w:after="283"/>
              <w:jc w:val="right"/>
              <w:rPr/>
            </w:pPr>
            <w:r>
              <w:rPr/>
              <w:t>​</w:t>
            </w:r>
          </w:p>
        </w:tc>
        <w:tc>
          <w:tcPr>
            <w:tcW w:w="570" w:type="dxa"/>
            <w:tcBorders>
              <w:bottom w:val="single" w:sz="2" w:space="0" w:color="596E80"/>
            </w:tcBorders>
            <w:tcMar>
              <w:bottom w:w="50" w:type="dxa"/>
            </w:tcMar>
            <w:vAlign w:val="center"/>
          </w:tcPr>
          <w:p>
            <w:pPr>
              <w:pStyle w:val="TableContents"/>
              <w:bidi w:val="0"/>
              <w:spacing w:before="0" w:after="283"/>
              <w:jc w:val="right"/>
              <w:rPr/>
            </w:pPr>
            <w:r>
              <w:rPr/>
              <w:t>0.24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983" w:type="dxa"/>
            <w:tcBorders/>
            <w:shd w:fill="CCEEFF" w:val="clear"/>
            <w:vAlign w:val="center"/>
          </w:tcPr>
          <w:p>
            <w:pPr>
              <w:pStyle w:val="TableContents"/>
              <w:bidi w:val="0"/>
              <w:spacing w:before="0" w:after="0"/>
              <w:jc w:val="left"/>
              <w:rPr/>
            </w:pPr>
            <w:r>
              <w:rPr/>
              <w:t xml:space="preserve">Dilution per share to investors participating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5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596E80"/>
            </w:tcBorders>
            <w:shd w:fill="CCEEFF" w:val="clear"/>
            <w:tcMar>
              <w:bottom w:w="50" w:type="dxa"/>
            </w:tcMar>
            <w:vAlign w:val="center"/>
          </w:tcPr>
          <w:p>
            <w:pPr>
              <w:pStyle w:val="TableContents"/>
              <w:bidi w:val="0"/>
              <w:spacing w:before="0" w:after="283"/>
              <w:jc w:val="right"/>
              <w:rPr/>
            </w:pPr>
            <w:r>
              <w:rPr/>
              <w:t>$</w:t>
            </w:r>
          </w:p>
        </w:tc>
        <w:tc>
          <w:tcPr>
            <w:tcW w:w="570" w:type="dxa"/>
            <w:tcBorders>
              <w:bottom w:val="double" w:sz="8" w:space="0" w:color="596E80"/>
            </w:tcBorders>
            <w:shd w:fill="CCEEFF" w:val="clear"/>
            <w:tcMar>
              <w:bottom w:w="50" w:type="dxa"/>
            </w:tcMar>
            <w:vAlign w:val="center"/>
          </w:tcPr>
          <w:p>
            <w:pPr>
              <w:pStyle w:val="TableContents"/>
              <w:bidi w:val="0"/>
              <w:spacing w:before="0" w:after="283"/>
              <w:jc w:val="right"/>
              <w:rPr/>
            </w:pPr>
            <w:r>
              <w:rPr/>
              <w:t>0.75</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22"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the underwriters exercise their option to purchase 8,333,333 additional shares in full at the public offering price of  $0.99 per share, the pro forma as adjusted net tangible book value will increase to $0.27 per share, representing an immediate increase to existing stockholders of  $0.23 per share and an immediate dilution of  $0.72 per share to investors participating in this offering.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the holders of the purchase warrants exercise the purchase warrants in full, our pro forma as adjusted net tangible book value per share after this offering would be $0.39, representing an immediate increase in pro forma as adjusted net tangible book value per share of  $0.35 to existing stockholders and immediate dilution in pro forma as adjusted net tangible book value per share of  $0.60 to new investors purchasing securities in this offering. We have not yet determined whether the purchase warrants will be classified and accounted for as liabilities or as equity.</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572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Unless indicated otherwise, the above discussion and table are based on 187,116,998 shares of our common stock outstanding as of March 31, 2026, after giving pro forma effect to the adjustments outlined above. This number excludes the shares of common stock issuable upon exercise of the purchase warrants offered hereby (except as otherwise indicated above), and also excludes the following: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6,355,161 shares of common stock issuable upon exercise of outstanding stock options granted under the 2024 Plan as of March 31, 2026, with a weighted-average exercise price of  $6.70 per share;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524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1,134,419 shares of common stock issuable upon exercise of stock options granted between April 1, 2026 and July 31, 2026 under our 2024 Plan, with a weighted average exercise price of $1.42 per share;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524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1,528,065 shares of common stock reserved for future issuance under the 2024 Plan as of March 31, 2026;</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524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47,407 shares of common stock reserved for future issuance under the ESPP as of March 31, 2026, as well as any future automatic annual increases in the number of shares of common stock reserved for issuance under the ESPP;</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524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57,591,978 shares of common stock issuable upon exercise of outstanding warrants as of March 31, 2026 (after giving effect to the warrants issued in the April Offering and the exercises discussed above) with a weighted-average exercise price of  $1.98 per share;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524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up to $85.4 million of shares of our common stock remaining to be sold under the Sales Agreement as of August 1, 2026.</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524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the extent that options and warrants are exercised or settle, as applicable, or other shares are issued, the investors purchasing in this offering may experience further dilution. In addition, we will need to raise additional capital, and, to the extent that additional capital is raised through the sale of equity or convertible debt securities, the issuance of these securities could result in further dilution to the investors participating in this offering.</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OSW"/>
      <w:bookmarkEnd w:id="10"/>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DESCRIPTION OF SECURITIES WE ARE OFFERING</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2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are offering 55,555,556 shares of our common stock and accompanying warrants to purchase an additional 55,555,556 shares of our common stock, or the purchase warrants. Each share of our common stock will be sold with a purchase warrant to purchase one share of our common stock. The shares of our common stock and the accompanying purchase warrants are immediately separable and will be issued separately. The shares of our common stock issuable from time to time upon exercise of the purchase warrants, if any, are also being offered pursuant to this prospectus supplement and the accompanying prospectus.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Common Stock</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restated certificate of incorporation, as amended, authorizes us to issue 600,000,000 shares of our common stock, par value $0.01 per share, and 10,000,000 shares of preferred stock, par value $0.01 per share. Shares of our common stock are the only security of the Company registered pursuant to Section 12 of the Securities Exchange Act of 1934, as amended. Each holder of common stock is entitled to one vote for each share on all matters submitted to a vote of the stockholders. The affirmative vote of holders of 66</w:t>
      </w:r>
      <w:r>
        <w:rPr>
          <w:rFonts w:ascii="Times New Roman;Times;serif" w:hAnsi="Times New Roman;Times;serif"/>
          <w:b w:val="false"/>
          <w:i w:val="false"/>
          <w:caps w:val="false"/>
          <w:smallCaps w:val="false"/>
          <w:color w:val="596E80"/>
          <w:sz w:val="14"/>
        </w:rPr>
        <w:t>2</w:t>
      </w:r>
      <w:r>
        <w:rPr>
          <w:rFonts w:ascii="Times New Roman;Times;serif" w:hAnsi="Times New Roman;Times;serif"/>
          <w:b w:val="false"/>
          <w:i w:val="false"/>
          <w:caps w:val="false"/>
          <w:smallCaps w:val="false"/>
          <w:color w:val="596E80"/>
          <w:sz w:val="20"/>
        </w:rPr>
        <w:t>∕</w:t>
      </w:r>
      <w:r>
        <w:rPr>
          <w:rFonts w:ascii="Times New Roman;Times;serif" w:hAnsi="Times New Roman;Times;serif"/>
          <w:b w:val="false"/>
          <w:i w:val="false"/>
          <w:caps w:val="false"/>
          <w:smallCaps w:val="false"/>
          <w:color w:val="596E80"/>
          <w:sz w:val="14"/>
        </w:rPr>
        <w:t>3</w:t>
      </w:r>
      <w:r>
        <w:rPr>
          <w:rFonts w:ascii="Times New Roman;Times;serif" w:hAnsi="Times New Roman;Times;serif"/>
          <w:b w:val="false"/>
          <w:i w:val="false"/>
          <w:caps w:val="false"/>
          <w:smallCaps w:val="false"/>
          <w:color w:val="596E80"/>
          <w:sz w:val="20"/>
        </w:rPr>
        <w:t>% of the voting power of all of the then-outstanding shares of capital stock, voting as a single class, will be required to amend certain provisions of our certificate of incorporation, including provisions relating to amending our bylaws, the classified board, the size of our board, removal of directors, director liability, vacancies on our board, special meetings, stockholder notices, actions by written consent and exclusive jurisdiction.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For more information, see “Description of Capital Stock” in the accompanying prospectus and in the documents incorporated by reference into this prospectus supplement and the accompanying prospectus.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common stock is listed on The Nasdaq Capital Market under the symbol “OTLK.” The transfer agent and registrar for our common stock is Equiniti Trust Company, LLC.</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Purchase Warrants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caps w:val="false"/>
          <w:smallCaps w:val="false"/>
          <w:color w:val="596E80"/>
          <w:sz w:val="20"/>
        </w:rPr>
      </w:pPr>
      <w:r>
        <w:rPr>
          <w:rFonts w:ascii="Times New Roman;Times;serif" w:hAnsi="Times New Roman;Times;serif"/>
          <w:b w:val="false"/>
          <w:i/>
          <w:caps w:val="false"/>
          <w:smallCaps w:val="false"/>
          <w:color w:val="596E80"/>
          <w:sz w:val="20"/>
        </w:rPr>
        <w:t>The material terms and provisions of the purchase warrants being issued in this offering are summarized below. The following description is subject to, and qualified in its entirety by, the form of purchase warrant which will be filed as an exhibit to a Current Report on Form 8-K to be filed by us with the SEC in connection with this offering. You should review the form of purchase warrant for a complete description of the terms and conditions applicable to the purchase warrants.</w:t>
      </w:r>
      <w:r>
        <w:rPr>
          <w:rFonts w:ascii="Times New Roman;Times;serif" w:hAnsi="Times New Roman;Times;serif"/>
          <w:b w:val="false"/>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caps w:val="false"/>
          <w:smallCaps w:val="false"/>
          <w:color w:val="596E80"/>
          <w:sz w:val="20"/>
        </w:rPr>
        <w:t>General</w:t>
      </w:r>
      <w:r>
        <w:rPr>
          <w:rFonts w:ascii="Times New Roman;Times;serif" w:hAnsi="Times New Roman;Times;serif"/>
          <w:b w:val="false"/>
          <w:i w:val="false"/>
          <w:caps w:val="false"/>
          <w:smallCaps w:val="false"/>
          <w:color w:val="596E80"/>
          <w:sz w:val="20"/>
        </w:rPr>
        <w:t xml:space="preserve">.   Each purchaser of a share of our common stock will receive a purchase warrant to purchase one share of our common stock. The purchase warrants will be delivered to purchasers in certificated form.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caps w:val="false"/>
          <w:smallCaps w:val="false"/>
          <w:color w:val="596E80"/>
          <w:sz w:val="20"/>
        </w:rPr>
        <w:t>Exercisability</w:t>
      </w:r>
      <w:r>
        <w:rPr>
          <w:rFonts w:ascii="Times New Roman;Times;serif" w:hAnsi="Times New Roman;Times;serif"/>
          <w:b w:val="false"/>
          <w:i w:val="false"/>
          <w:caps w:val="false"/>
          <w:smallCaps w:val="false"/>
          <w:color w:val="596E80"/>
          <w:sz w:val="20"/>
        </w:rPr>
        <w:t xml:space="preserve">.   The purchase warrants will be exercisable on the issuance date and will expire five years from the date of issuance. The purchase warrants will be exercisable, at the option of each holder, in whole or in part by delivering to us or the warrant agent a duly executed exercise notice and by payment in full in immediately available funds for the number of shares of our common stock purchased upon such exercise. However, if a registration statement registering the issuance of the shares of our common stock underlying a purchase warrant held by a holder under the Securities Act is not effective or available for the issuance of such shares to such holder at the time of exercise, the holder may only exercise the purchase warrant through a “cashless exercise,” in which case the holder would receive upon such exercise the net number of shares of our common stock determined according to the formula set forth in the purchase warrant. Apart from the limited circumstance where such a registration statement is not then effective or available, the exercise price must be paid by the holder in cash in immediately available funds.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caps w:val="false"/>
          <w:smallCaps w:val="false"/>
          <w:color w:val="596E80"/>
          <w:sz w:val="20"/>
        </w:rPr>
        <w:t>Exercise Limitations</w:t>
      </w:r>
      <w:r>
        <w:rPr>
          <w:rFonts w:ascii="Times New Roman;Times;serif" w:hAnsi="Times New Roman;Times;serif"/>
          <w:b w:val="false"/>
          <w:i w:val="false"/>
          <w:caps w:val="false"/>
          <w:smallCaps w:val="false"/>
          <w:color w:val="596E80"/>
          <w:sz w:val="20"/>
        </w:rPr>
        <w:t>.   A holder (together with its affiliates and other attribution parties) may not exercise any portion of a purchase warrant to the extent that immediately prior to or after giving effect to such exercise the holder would own more than 4.99%, 9.99%, or 19.99%, as applicable, of our outstanding common stock immediately after exercise, which percentage may be changed at the holder’s election to a higher or lower percentage not in excess of 19.99% (if exceeding such percentage would result in a change of control under Nasdaq Listing Rule 5635(b) or any successor rule) upon 61 days’ notice to us, subject to the terms of the purchase warrants.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caps w:val="false"/>
          <w:smallCaps w:val="false"/>
          <w:color w:val="596E80"/>
          <w:sz w:val="20"/>
        </w:rPr>
        <w:t>Exercise Price</w:t>
      </w:r>
      <w:r>
        <w:rPr>
          <w:rFonts w:ascii="Times New Roman;Times;serif" w:hAnsi="Times New Roman;Times;serif"/>
          <w:b w:val="false"/>
          <w:i w:val="false"/>
          <w:caps w:val="false"/>
          <w:smallCaps w:val="false"/>
          <w:color w:val="596E80"/>
          <w:sz w:val="20"/>
        </w:rPr>
        <w:t>.   The initial per share exercise price of the purchase warrants is $1.10. The exercise price is subject to adjustment in the event of stock combinations, subdivisions or similar events affecting our common stock.</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668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caps w:val="false"/>
          <w:smallCaps w:val="false"/>
          <w:color w:val="596E80"/>
          <w:sz w:val="20"/>
        </w:rPr>
        <w:t>Transferability</w:t>
      </w:r>
      <w:r>
        <w:rPr>
          <w:rFonts w:ascii="Times New Roman;Times;serif" w:hAnsi="Times New Roman;Times;serif"/>
          <w:b w:val="false"/>
          <w:i w:val="false"/>
          <w:caps w:val="false"/>
          <w:smallCaps w:val="false"/>
          <w:color w:val="596E80"/>
          <w:sz w:val="20"/>
        </w:rPr>
        <w:t>.   Subject to compliance with any applicable securities laws, the purchase warrants are separately tradeable immediately after issuance at the option of the holders and may be transferred at the option of the holders.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caps w:val="false"/>
          <w:smallCaps w:val="false"/>
          <w:color w:val="596E80"/>
          <w:sz w:val="20"/>
        </w:rPr>
        <w:t>No Listing</w:t>
      </w:r>
      <w:r>
        <w:rPr>
          <w:rFonts w:ascii="Times New Roman;Times;serif" w:hAnsi="Times New Roman;Times;serif"/>
          <w:b w:val="false"/>
          <w:i w:val="false"/>
          <w:caps w:val="false"/>
          <w:smallCaps w:val="false"/>
          <w:color w:val="596E80"/>
          <w:sz w:val="20"/>
        </w:rPr>
        <w:t>.   There is no established public trading market for the purchase warrants and we do not expect a market to develop. In addition, we do not intend to apply for listing of the purchase warrants on any securities exchange or recognized trading system. Without an active market, the liquidity of the purchase warrants will be limited.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caps w:val="false"/>
          <w:smallCaps w:val="false"/>
          <w:color w:val="596E80"/>
          <w:sz w:val="20"/>
        </w:rPr>
        <w:t>Fundamental Transactions</w:t>
      </w:r>
      <w:r>
        <w:rPr>
          <w:rFonts w:ascii="Times New Roman;Times;serif" w:hAnsi="Times New Roman;Times;serif"/>
          <w:b w:val="false"/>
          <w:i w:val="false"/>
          <w:caps w:val="false"/>
          <w:smallCaps w:val="false"/>
          <w:color w:val="596E80"/>
          <w:sz w:val="20"/>
        </w:rPr>
        <w:t>.   In the event of a fundamental transaction, as described in the purchase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holders of the purchase warrants will be entitled to receive upon exercise of the purchase warrants the kind and amount of securities, cash or other property that the holders would have received had they exercised the purchase warrants immediately prior to such fundamental transaction. Notwithstanding the foregoing, as more fully described in the purchase warrant, in the event of certain fundamental transactions, the holders of the purchase warrants will be entitled to receive consideration in an amount equal to the Black Scholes value of the purchase warrants.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caps w:val="false"/>
          <w:smallCaps w:val="false"/>
          <w:color w:val="596E80"/>
          <w:sz w:val="20"/>
        </w:rPr>
        <w:t>Rights as a Stockholder</w:t>
      </w:r>
      <w:r>
        <w:rPr>
          <w:rFonts w:ascii="Times New Roman;Times;serif" w:hAnsi="Times New Roman;Times;serif"/>
          <w:b w:val="false"/>
          <w:i w:val="false"/>
          <w:caps w:val="false"/>
          <w:smallCaps w:val="false"/>
          <w:color w:val="596E80"/>
          <w:sz w:val="20"/>
        </w:rPr>
        <w:t xml:space="preserve">.   Except for the right to participate in certain dividends and distributions and as otherwise provided in the purchase warrant or by virtue of a holder’s ownership of shares of our common stock, the holders of the purchase warrants do not have the rights or privileges of holders of our common stock, including any voting rights, until they exercise their purchase warrants.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MATERIAL U.S. FEDERAL INCOME TAX CONSEQUENCES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following is a general discussion of certain material United States, or U.S., federal income tax consequences of the purchase, ownership and disposition of shares of our common stock issued pursuant to this offering, or the Shares, the purchase, exercise, disposition and lapse of warrants to purchase shares of our common stock pursuant to this offering, or the purchase warrants and the ownership and disposition of shares of our common stock issuable upon exercise of the purchase warrants, or the warrant shares. The Shares, the purchase warrants and the warrant shares are collectively referred to herein as our “securities.” All prospective holders of our securities should consult their tax advisors with respect to the U.S. federal, state, local and non-U.S. tax consequences of the purchase, ownership and disposition of our securities.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discussion is not a complete analysis of all potential U.S. federal income tax consequences relating to the purchase, ownership and disposition of our securities. This discussion is based 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any alternative minimum, Medicare contribution, estate or gift tax consequences, the special tax accounting rules under Section 451(b) of the Code or any aspects of U.S. state, local or non-U.S. taxes or any other U.S. federal tax laws. This discussion also does not address consequences relevant to holders subject to special tax rules, such as holders that own or have owned, or are deemed to own or have owned,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“qualified foreign pension funds” as defined in Section 897(l)(2) of the Code and entities all of the interests of which are held by qualified foreign pension funds, holders who hold or receive our securities pursuant to the exercise of employee stock options or otherwise as compensation, holders holding our securities as part of a hedge, wash, straddle or other risk reduction strategy, conversion transaction or other integrated investment, holders deemed to sell our securities under the constructive sale provisions of the Code, controlled foreign corporations, foreign controlled foreign corporations, passive foreign investment companies and certain former U.S. citizens or long-term residents.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addition, this discussion does not address the tax treatment of partnerships (or entities or arrangements that are treated as partnerships or disregarded entities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Allocation of Purchase Price</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Each purchaser of Shares must allocate its purchase price for such Shares between each Share and purchase warrant based on the respective relative fair market values of each at the time of issuance. This allocation of the purchase price will establish the holder’s initial tax basis for U.S. federal income tax purposes for each Share and purchase warrant. A holder’s allocation of the purchase price among the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Shares and purchase warrants is not binding on the IRS or the courts, and no assurance can be given that the IRS or the courts will agree with a holder’s allocation. Each holder should consult its own tax advisor regarding the allocation of the purchase price among the Shares and purchase warrants.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Tax Considerations Applicable to U.S. Holders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Definition of U.S. Holder</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general, a “U.S. holder” means a beneficial owner of our securities (other than a partnership or an entity or arrangement treated as a partnership for U.S. federal income tax purposes) that is, for U.S. federal income tax purposes: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 individual who is a citizen or resident of the United States;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524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corporation, or an entity treated as a corporation for U.S. federal income tax purposes, created or organized in the United States or under the laws of the United States or of any state thereof or the District of Columbia;</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524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 estate, the income of which is subject to U.S. federal income tax regardless of its source;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524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524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Exercise of Purchase Warrants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U.S. holder generally will not recognize gain or loss on the exercise of a purchase warrant and the related receipt of warrant shares (unless cash is received in lieu of the issuance of a fractional warrant share). A U.S. holder’s initial tax basis in a warrant share will be equal to the sum of  (a) such U.S. holder’s tax basis in the purchase warrant plus (b) the exercise price paid by such U.S. holder on the exercise of such purchase warrant. A U.S. holder’s holding period in a warrant share received on the exercise of a purchase warrant generally should begin on the day after the date that such purchase warrant is exercised by such U.S. holder.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certain circumstances, the purchase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purchase warrant on a cashless basis, including with respect to their holding period and tax basis in the warrant share.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Distributions on the Shares or the Warrant Shares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do not anticipate declaring or paying any future distributions. However, if we do make distributions on the Shares or the warrant shares, such distributions will constitute dividends to the extent paid from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long-term capital gains rates, provided certain holding period and other requirements are satisfied. If a distribution exceeds our current and accumulated earnings and profits, the excess will be treated as a tax-free return of the U.S. holder’s investment, up to such U.S. holder’s adjusted tax basis in the Shares or the warrant shares, as applicable. Any remaining excess will be treated as capital gain from the sale or exchange of such Shares or warrant shares, subject to the tax treatment described in “—Sale or Other Taxable Disposition of the Shares Purchase Warrants or Warrant Shares.”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Sale or Other Taxable Disposition of the Shares Purchase Warrants or Warrant Shares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Upon the sale, exchange or other taxable disposition of the Shares, purchase warrants (other than by exercise) or warrant shares, a U.S. holder will generally recognize capital gain or loss equal to the difference between the amount of cash and the fair market value of any property received upon the sale, exchange or other taxable disposition and such U.S. holder’s adjusted tax basis in the Shares purchase warrants or warrant shares. This capital gain or loss will be long-term capital gain or loss if the U.S. holder’s holding period in such Shares purchase warrants or warrant shares is more than one year at the time of the sale,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exchange or other taxable disposition. Long-term capital gains recognized by certain non-corporate U.S. holders, including individuals, generally will be subject to reduced rates of U.S. federal income tax. The deductibility of capital losses is subject to certain limitations.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Lapse of Purchase Warrants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Upon the lapse or expiration of a purchase warrant, a U.S. holder will recognize a loss in an amount equal to such U.S. holder’s tax basis in the purchase warrant. Any such loss generally will be a capital loss and will be long-term capital loss if the purchase warrant is held for more than one year. Deductions for capital losses are subject to limitations.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Certain Adjustments to the Purchase Warrants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terms of each purchase warrant provide for an adjustment to the number of warrant shares for which the purchase warrant may be exercised and/or to the exercise price of the purchase warrant in certain events. An adjustment to the exercise price of a purchase warrant may be treated as a constructive distribution to a U.S. holder of the purchase warrants depending on the circumstances of such adjustment if, and to the extent that, such adjustment has the effect of increasing such U.S. holder’s proportionate interest in our “earnings and profits” or assets, depending on the circumstances of such adjustment. In addition, the failure to provide for such an adjustment (or to adequately adjust) may also result in a deemed distribution to U.S. holders of the purchase warrants or Shares. Any such constructive distribution may be taxable whether or not there is an actual distribution of cash or other property. However, adjustments to the exercise price of purchase warrants made pursuant to a bona fide reasonable adjustment formula that has the effect of preventing dilution of the interest of the holders thereof generally should not be considered to result in a constructive distribution. Generally, such deemed distributions will be taxable in the same manner as an actual distribution as described in “—Distributions on the Shares or the Warrant Shares,” except that it is unclear whether such deemed distributions would be eligible for the reduced tax rate applicable to certain dividends paid to non-corporate holders or the dividend-received deduction applicable to certain dividends paid to corporate holders. Generally, a U.S. holder’s tax basis in the underlying stock will be increased to the extent any such constructive distribution is treated as a dividend. Proposed U.S. Treasury Regulations address the amount of, timing of, and withholding obligations in respect to, constructive distributions made to holders of convertible securities such as the purchase warrants. These proposed regulations are effective for constructive distributions made on or after the date of finalization, but may generally be relied upon as to certain matters for constructive distributions that occur prior to such date. U.S. holders should consult their own tax advisors regarding the application of such regulations and other tax considerations relating to the possibility of constructive distributions.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Backup Withholding and Information Reporting</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U.S. holder may be subject to information reporting and backup withholding when such holder receives payments on our securities (including constructive dividends) or receives proceeds from the sale or other taxable disposition of our securities. Certain U.S. holders are exempt from backup withholding, including C corporations and certain tax-exempt organizations. A U.S. holder will be subject to backup withholding if such holder is not otherwise exempt and such holder: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fails to furnish the holder’s taxpayer identification number, which for an individual is ordinarily his or her social security number;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79">
                <wp:simplePos x="0" y="0"/>
                <wp:positionH relativeFrom="column">
                  <wp:align>left</wp:align>
                </wp:positionH>
                <wp:positionV relativeFrom="line">
                  <wp:align>top</wp:align>
                </wp:positionV>
                <wp:extent cx="1524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furnishes an incorrect taxpayer identification number;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524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is notified by the IRS that the holder previously failed to properly report payments of interest or dividends;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524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fails to certify under penalties of perjury that the holder has furnished a correct taxpayer identification number and that the IRS has not notified the holder that the holder is subject to backup withholding.</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524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Tax Considerations Applicable to Non-U.S. Holders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Definition of non-U.S. Holder</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For purposes of this discussion, a “non-U.S. holder” is a beneficial owner of our securities that is neither a U.S. holder nor a partnership or an entity or arrangement treated as a partnership for U.S. federal income tax purposes.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Exercise of Purchase Warrants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non-U.S. holder generally will not recognize gain or loss on the exercise of a purchase warrant and the related receipt of warrant shares (unless cash is received in lieu of the issuance of a fractional warrant share and certain other conditions are present, as discussed under “—Gain on Sale, Exchange or Other Taxable Disposition of Our Securities”). See “—Tax Considerations Applicable to U.S. Holders—Exercise of Purchase Warrants.” However, if a cashless exercise of purchase warrants results in a taxable exchange, as described in “—Tax Considerations Applicable to U.S. Holders—Exercise of Purchase Warrants,” the rules described in “Gain on Sale, Exchange or Other Taxable Disposition of Our Securities” would apply.</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Lapse of Purchase Warrants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a non-U.S. holder allows a purchase warrant to expire unexercised, such non-U.S. holder will recognize a capital loss in an amount equal to such holder’s tax basis in the purchase warrant. See “—Tax Considerations Applicable to U.S. Holders—Lapse of Warrants.”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Certain Adjustments to the Purchase Warrants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See the discussion of the rules applicable to constructive distributions on a purchase warrant in “—Tax Considerations Applicable to U.S. Holders—Certain Adjustments to the Warrants.” If an adjustment to the number of warrant shares that will be issued on the exercise of the purchase warrants, or an adjustment to the exercise price of the purchase warrants, results in a constructive distribution, as described in “—Tax Considerations Applicable to U.S. Holders—Certain Adjustments to the Purchase Warrants,” the rules described in “—Distributions on the Shares or the Warrant Shares” would apply. U.S. federal income tax required to be withheld on any portion of such constructive distribution that is treated as a dividend (as described in “—Distributions on the Shares or the Warrant Shares”) may be withheld from warrant shares, sales proceeds subsequently paid or credited, or other amounts payable or distributable to a non-U.S. holder.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Distributions on the Shares or the Warrant Shares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do not anticipate declaring or paying any future distributions. However, if we make distributions on the Shares or the warrant shares such distributions will constitute dividends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non-U.S. holder’s adjusted tax basis in the Shares or the warrant shares, as applicable. Any remaining excess will be treated as capital gain from the sale or exchange of such Shares or warrant shares, subject to the tax treatment described in “—Gain on Sale, Exchange or Other Taxable Disposition of Our Securities” below.</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Dividends paid to a non-U.S. holder will generally be subject to withholding of U.S. federal income tax at a 30% rate of the gross amount of the dividend or such lower rate as may be specified by an applicable income tax treaty between the United States and such non-U.S. holder’s country of residence for purposes of such treaty.</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U.S. federal income tax rates applicable to U.S. persons (as defined in the Code). Any U.S. effectively connected income received by a non-U.S. holder that is a corporation may also, under certain circumstances, be subject to an additional “branch profits tax” at a 30% rate or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such lower rate as may be specified by an applicable income tax treaty between the United States and such non-U.S. holder’s country of residence for purposes of such treaty.</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claim a reduction or exemption from withholding, a non-U.S. holder generally will be required to provide (a) a properly executed IRS Form W-8BEN or IRS Form W-8BEN-E (or successor form) and satisfy applicable certification and other requirements to claim the benefit of an applicable income tax treaty between the United States and such non-U.S. holder’s country of residence, or (b) a properly executed IRS Form W-8ECI stating that dividends are not subject to withholding because they are effectively connected with such non-U.S. holder’s conduct of a trade or business within the United States. Non-U.S. holders are urged to consult their tax advisors regarding their entitlement to benefits under a relevant income tax treaty.</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non-U.S. holder that is eligible for a reduced rate of U.S. withholding tax under an income tax treaty may obtain a refund or credit of any excess amounts withheld by timely filing an appropriate claim for refund with the IRS.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Distributions will also be subject to the discussion in “—Backup Withholding and Information Reporting” and “—Foreign Accounts.”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Gain on Sale, Exchange or Other Taxable Disposition of Our Securities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Subject to the discussion in “—Backup Withholding and Information Reporting” and “—Foreign Accounts,” in general, a non-U.S. holder will not be subject to any U.S. federal income tax on any gain realized upon such non-U.S. holder’s sale, exchange or other taxable disposition of our securities unless: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U.S. federal income tax rates applicable to U.S. persons (as defined in the Code) and, if the non-U.S. holder is a foreign corporation, the branch profits tax described in “—Distributions on the Shares or the Warrant Shares” also may apply;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524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non-U.S. holder is a nonresident alien individual who is present in the United States for 183 days or more in the taxable year of the disposition and certain other conditions are met, in which case the non-U.S. holder will be subject to a 30% U.S. federal income tax (or such lower rate as may be specified by an applicable income tax treaty) on the net gain derived from the disposition, which may be offset by U.S. source capital losses of the non-U.S. holder, if any (even though the individual is not considered a resident of the United States);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524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we are, or have been, at any time during the five-year period preceding such disposition (or the non-U.S. holder’s holding period, if shorter) a “U.S. real property holding corporation” in which case such non-U.S. holder generally will be taxed on its net gain derived from the disposition as effectively connected income taxable at the U.S. federal income tax rates applicable to U.S. persons (as defined in the Code); however, the branch profits tax described above will not apply to a U.S. holder that is a foreign corporation.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Even if we are or become a U.S. real property holding corporation, provided that our common stock is regularly traded, as defined by applicable U.S. Treasury Regulations, on an established securities market, the Shares will be treated as a U.S. real property interest only with respect to a non-U.S. holder that holds more than 5% of our outstanding common stock, directly or indirectly, actually or constructively, during the shorter of the 5-year period ending on the date of the disposition or the period that the non-U.S. holder held the Shares or warrant shares, as applicable. There can be no assurance that our common stock will continue to qualify as regularly traded on an established securities market. Disposition by a non-U.S. holder of purchase warrants (that are not expected to be regularly traded on an established securities market) may also be eligible for an exemption from withholding even if we are treated as a U.S. real property holding corporation, if on the date such purchase warrants were acquired by such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524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non-U.S. holder such holdings had a fair market value no greater than the fair market value on that date of 5% of our regularly-traded common stock, provided that, if a non-U.S. holder holding our not-regularly-traded purchase warrants subsequently acquires additional purchase warrants, then such interests would be aggregated and valued as of the date of the subsequent acquisition to apply this 5% limitation.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Backup Withholding and Information Reporting</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must report annually to the IRS and to each non-U.S. holder the gross amount of the distributions on our securities paid to such non-U.S. holder and the tax withheld, if any, with respect to such distributions. Non-U.S. holders will have to comply with specific certification procedures to establish that the holder is not a U.S. person (as defined in the Code) in order to avoid backup withholding at the applicable rate with respect to any dividends on our securities. A non-U.S. holder generally will not be subject to U.S. backup withholding with respect to payments of dividends on our securities if it certifies its non-U.S. status by providing a valid IRS Form W-8BEN or IRS Form W-8BEN-E (or successor form) or IRS Form W-8ECI, or otherwise establishes an exemption; provided we do not have actual knowledge or reason to know such non-U.S. holder is a U.S. person, as defined in the Code. Dividends paid to non-U.S. holders subject to the U.S. withholding tax, as described in “—Distributions on the Shares or the Warrant Shares” generally will be exempt from U.S. backup withholding.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Information reporting and backup withholding will generally apply to the proceeds of a disposition of our securities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Copies of information returns may be made available to the tax authorities of the country in which the non-U.S. holder resides or is established under the provisions of a specific treaty or agreement.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Foreign Accounts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Code generally imposes a U.S. federal withholding tax of 30% on dividends and, subject to the discussion below regarding proposed regulations issued by the U.S. Treasury Department, the gross proceeds of a disposition of our securities paid to a “foreign financial institution” ​(as defined in the Code), unless such institution enters into an agreement with the U.S. government to, among other things, withhold on certain payments and to collect and provide to the U.S. tax authorities substantial information regarding accounts held by certain “specific United States persons” or “United States owned foreign entities” ​(each as defined in the Code), or otherwise qualifies for an exemption from these rules. A U.S. federal withholding tax of 30% also applies to dividends and, subject to the discussion below regarding proposed regulations issued by the U.S. Treasury Department, will apply to the gross proceeds of a disposition of our securities paid to a “non-financial foreign entity” ​(as defined in the Code), unless such entity provides the withholding agent with either a certification that it does not have any “substantial United States owners” ​(as defined in the Code), provides information regarding each substantial United States owners of the entity, or otherwise qualifies for an exemption from these rules. Under certain circumstances, a non-U.S. holder might be eligible for refunds or credits of such taxes. An intergovernmental agreement between the United States and an applicable foreign country may modify the requirements described in this paragraph.</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The withholding provisions described above currently apply to dividends paid on our securities. The U.S. Treasury Department released proposed regulations which, if finalized in their present form, would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1076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eliminate the U.S. federal withholding tax of 30% applicable to the gross proceeds of a sale or other disposition of our securities. In its preamble to such proposed regulations, the U.S. Treasury Department stated that taxpayers may generally rely on the proposed regulations until final regulations are issued.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EACH PROSPECTIVE INVESTOR SHOULD CONSULT ITS TAX ADVISOR REGARDING THE PARTICULAR U.S. FEDERAL, STATE AND LOCAL AND NON-U.S. TAX CONSEQUENCES OF PURCHASING, HOLDING AND DISPOSING OF OUR SECURITIES, INCLUDING THE CONSEQUENCES OF ANY PROPOSED CHANGE IN APPLICABLE LAWS.</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ND"/>
      <w:bookmarkEnd w:id="11"/>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UNDERWRITING</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5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and Piper Sandler &amp; Co. and BTIG, LLC, as representatives for the underwriters named below, have entered into an underwriting agreement with respect to the shares of common stock and accompanying purchase warrants being offered hereby. Subject to the terms and conditions contained in the underwriting agreement, we have agreed to sell to the underwriters, and each underwriter has agreed to purchase, at the public offering prices less the underwriting discounts and commissions set forth on the cover page of this prospectus supplement, the number of shares of our common stock and purchase warrants set forth opposite its name in the table below.</w:t>
      </w:r>
      <w:r>
        <w:rPr>
          <w:rFonts w:ascii="Times New Roman;Times;serif" w:hAnsi="Times New Roman;Times;serif"/>
          <w:b w:val="false"/>
          <w:i w:val="false"/>
          <w:caps w:val="false"/>
          <w:smallCaps w:val="false"/>
          <w:color w:val="596E8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4737"/>
        <w:gridCol w:w="109"/>
        <w:gridCol w:w="109"/>
        <w:gridCol w:w="109"/>
        <w:gridCol w:w="109"/>
        <w:gridCol w:w="1227"/>
        <w:gridCol w:w="109"/>
        <w:gridCol w:w="109"/>
        <w:gridCol w:w="109"/>
        <w:gridCol w:w="134"/>
        <w:gridCol w:w="134"/>
        <w:gridCol w:w="1525"/>
        <w:gridCol w:w="134"/>
        <w:gridCol w:w="158"/>
      </w:tblGrid>
      <w:tr>
        <w:trPr/>
        <w:tc>
          <w:tcPr>
            <w:tcW w:w="4737" w:type="dxa"/>
            <w:tcBorders/>
            <w:vAlign w:val="center"/>
          </w:tcPr>
          <w:p>
            <w:pPr>
              <w:pStyle w:val="TableContents"/>
              <w:bidi w:val="0"/>
              <w:spacing w:before="0" w:after="0"/>
              <w:jc w:val="left"/>
              <w:rPr>
                <w:bdr w:val="single" w:sz="2" w:space="1" w:color="596E80"/>
              </w:rPr>
            </w:pPr>
            <w:r>
              <w:rPr>
                <w:bdr w:val="single" w:sz="2" w:space="1" w:color="596E80"/>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4" w:type="dxa"/>
            <w:gridSpan w:val="4"/>
            <w:tcBorders/>
            <w:vAlign w:val="center"/>
          </w:tcPr>
          <w:p>
            <w:pPr>
              <w:pStyle w:val="TableContents"/>
              <w:bidi w:val="0"/>
              <w:spacing w:before="0" w:after="0"/>
              <w:jc w:val="center"/>
              <w:rPr/>
            </w:pPr>
            <w:r>
              <w:rPr/>
              <w:t>Number of</w:t>
              <w:br/>
            </w:r>
            <w:r>
              <w:rPr>
                <w:bdr w:val="single" w:sz="2" w:space="1" w:color="596E80"/>
              </w:rPr>
              <w:t xml:space="preserve">Shares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7" w:type="dxa"/>
            <w:gridSpan w:val="4"/>
            <w:tcBorders/>
            <w:vAlign w:val="center"/>
          </w:tcPr>
          <w:p>
            <w:pPr>
              <w:pStyle w:val="TableContents"/>
              <w:bidi w:val="0"/>
              <w:spacing w:before="0" w:after="0"/>
              <w:jc w:val="center"/>
              <w:rPr/>
            </w:pPr>
            <w:r>
              <w:rPr/>
              <w:t xml:space="preserve">Number of Purchase </w:t>
              <w:br/>
              <w:t xml:space="preserve">Warrants to </w:t>
              <w:br/>
              <w:t xml:space="preserve">Purchase Shares of </w:t>
              <w:br/>
            </w:r>
            <w:r>
              <w:rPr>
                <w:bdr w:val="single" w:sz="2" w:space="1" w:color="596E80"/>
              </w:rPr>
              <w:t xml:space="preserve">Common Stock </w:t>
            </w:r>
          </w:p>
        </w:tc>
        <w:tc>
          <w:tcPr>
            <w:tcW w:w="158" w:type="dxa"/>
            <w:tcBorders/>
            <w:vAlign w:val="center"/>
          </w:tcPr>
          <w:p>
            <w:pPr>
              <w:pStyle w:val="TableContents"/>
              <w:bidi w:val="0"/>
              <w:spacing w:before="0" w:after="283"/>
              <w:jc w:val="left"/>
              <w:rPr/>
            </w:pPr>
            <w:r>
              <w:rPr/>
              <w:t>​</w:t>
            </w:r>
          </w:p>
        </w:tc>
      </w:tr>
      <w:tr>
        <w:trPr/>
        <w:tc>
          <w:tcPr>
            <w:tcW w:w="4737" w:type="dxa"/>
            <w:tcBorders/>
            <w:shd w:fill="CCEEFF" w:val="clear"/>
            <w:vAlign w:val="center"/>
          </w:tcPr>
          <w:p>
            <w:pPr>
              <w:pStyle w:val="TableContents"/>
              <w:bidi w:val="0"/>
              <w:spacing w:before="0" w:after="0"/>
              <w:jc w:val="left"/>
              <w:rPr/>
            </w:pPr>
            <w:r>
              <w:rPr/>
              <w:t xml:space="preserve">Piper Sandler &amp; Co.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227" w:type="dxa"/>
            <w:tcBorders/>
            <w:shd w:fill="CCEEFF" w:val="clear"/>
            <w:vAlign w:val="center"/>
          </w:tcPr>
          <w:p>
            <w:pPr>
              <w:pStyle w:val="TableContents"/>
              <w:bidi w:val="0"/>
              <w:spacing w:before="0" w:after="283"/>
              <w:jc w:val="right"/>
              <w:rPr/>
            </w:pPr>
            <w:r>
              <w:rPr/>
              <w:t xml:space="preserve">37,500,000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34" w:type="dxa"/>
            <w:tcBorders/>
            <w:shd w:fill="CCEEFF" w:val="clear"/>
            <w:vAlign w:val="center"/>
          </w:tcPr>
          <w:p>
            <w:pPr>
              <w:pStyle w:val="TableContents"/>
              <w:bidi w:val="0"/>
              <w:spacing w:before="0" w:after="283"/>
              <w:jc w:val="left"/>
              <w:rPr/>
            </w:pPr>
            <w:r>
              <w:rPr/>
              <w:t>​</w:t>
            </w:r>
          </w:p>
        </w:tc>
        <w:tc>
          <w:tcPr>
            <w:tcW w:w="134" w:type="dxa"/>
            <w:tcBorders/>
            <w:shd w:fill="CCEEFF" w:val="clear"/>
            <w:vAlign w:val="center"/>
          </w:tcPr>
          <w:p>
            <w:pPr>
              <w:pStyle w:val="TableContents"/>
              <w:bidi w:val="0"/>
              <w:spacing w:before="0" w:after="283"/>
              <w:jc w:val="right"/>
              <w:rPr/>
            </w:pPr>
            <w:r>
              <w:rPr/>
              <w:t>​</w:t>
            </w:r>
          </w:p>
        </w:tc>
        <w:tc>
          <w:tcPr>
            <w:tcW w:w="1525" w:type="dxa"/>
            <w:tcBorders/>
            <w:shd w:fill="CCEEFF" w:val="clear"/>
            <w:vAlign w:val="center"/>
          </w:tcPr>
          <w:p>
            <w:pPr>
              <w:pStyle w:val="TableContents"/>
              <w:bidi w:val="0"/>
              <w:spacing w:before="0" w:after="283"/>
              <w:jc w:val="right"/>
              <w:rPr/>
            </w:pPr>
            <w:r>
              <w:rPr/>
              <w:t xml:space="preserve">37,500,000 </w:t>
            </w:r>
          </w:p>
        </w:tc>
        <w:tc>
          <w:tcPr>
            <w:tcW w:w="134" w:type="dxa"/>
            <w:tcBorders/>
            <w:shd w:fill="CCEEFF" w:val="clear"/>
            <w:vAlign w:val="center"/>
          </w:tcPr>
          <w:p>
            <w:pPr>
              <w:pStyle w:val="TableContents"/>
              <w:bidi w:val="0"/>
              <w:spacing w:before="0" w:after="283"/>
              <w:jc w:val="left"/>
              <w:rPr/>
            </w:pPr>
            <w:r>
              <w:rPr/>
              <w:t>​</w:t>
            </w:r>
          </w:p>
        </w:tc>
        <w:tc>
          <w:tcPr>
            <w:tcW w:w="158" w:type="dxa"/>
            <w:tcBorders/>
            <w:shd w:fill="CCEEFF" w:val="clear"/>
            <w:vAlign w:val="center"/>
          </w:tcPr>
          <w:p>
            <w:pPr>
              <w:pStyle w:val="TableContents"/>
              <w:bidi w:val="0"/>
              <w:spacing w:before="0" w:after="283"/>
              <w:jc w:val="left"/>
              <w:rPr/>
            </w:pPr>
            <w:r>
              <w:rPr/>
              <w:t>​</w:t>
            </w:r>
          </w:p>
        </w:tc>
      </w:tr>
      <w:tr>
        <w:trPr/>
        <w:tc>
          <w:tcPr>
            <w:tcW w:w="4737" w:type="dxa"/>
            <w:tcBorders/>
            <w:vAlign w:val="center"/>
          </w:tcPr>
          <w:p>
            <w:pPr>
              <w:pStyle w:val="TableContents"/>
              <w:bidi w:val="0"/>
              <w:spacing w:before="0" w:after="0"/>
              <w:jc w:val="left"/>
              <w:rPr/>
            </w:pPr>
            <w:r>
              <w:rPr/>
              <w:t xml:space="preserve">BTIG,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27" w:type="dxa"/>
            <w:tcBorders/>
            <w:vAlign w:val="center"/>
          </w:tcPr>
          <w:p>
            <w:pPr>
              <w:pStyle w:val="TableContents"/>
              <w:bidi w:val="0"/>
              <w:spacing w:before="0" w:after="283"/>
              <w:jc w:val="right"/>
              <w:rPr/>
            </w:pPr>
            <w:r>
              <w:rPr/>
              <w:t>13,888,889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right"/>
              <w:rPr/>
            </w:pPr>
            <w:r>
              <w:rPr/>
              <w:t>​</w:t>
            </w:r>
          </w:p>
        </w:tc>
        <w:tc>
          <w:tcPr>
            <w:tcW w:w="1525" w:type="dxa"/>
            <w:tcBorders/>
            <w:vAlign w:val="center"/>
          </w:tcPr>
          <w:p>
            <w:pPr>
              <w:pStyle w:val="TableContents"/>
              <w:bidi w:val="0"/>
              <w:spacing w:before="0" w:after="283"/>
              <w:jc w:val="right"/>
              <w:rPr/>
            </w:pPr>
            <w:r>
              <w:rPr/>
              <w:t xml:space="preserve">13,888,889 </w:t>
            </w:r>
          </w:p>
        </w:tc>
        <w:tc>
          <w:tcPr>
            <w:tcW w:w="134"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4737" w:type="dxa"/>
            <w:tcBorders>
              <w:bottom w:val="single" w:sz="2" w:space="0" w:color="CCEEFF"/>
            </w:tcBorders>
            <w:shd w:fill="CCEEFF" w:val="clear"/>
            <w:tcMar>
              <w:bottom w:w="50" w:type="dxa"/>
            </w:tcMar>
            <w:vAlign w:val="center"/>
          </w:tcPr>
          <w:p>
            <w:pPr>
              <w:pStyle w:val="TableContents"/>
              <w:bidi w:val="0"/>
              <w:spacing w:before="0" w:after="0"/>
              <w:jc w:val="left"/>
              <w:rPr/>
            </w:pPr>
            <w:r>
              <w:rPr/>
              <w:t xml:space="preserve">Brookline Capital Markets, a division of Arcadia Securities, LLC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596E80"/>
            </w:tcBorders>
            <w:shd w:fill="CCEEFF" w:val="clear"/>
            <w:tcMar>
              <w:bottom w:w="50" w:type="dxa"/>
            </w:tcMar>
            <w:vAlign w:val="center"/>
          </w:tcPr>
          <w:p>
            <w:pPr>
              <w:pStyle w:val="TableContents"/>
              <w:bidi w:val="0"/>
              <w:spacing w:before="0" w:after="283"/>
              <w:jc w:val="right"/>
              <w:rPr/>
            </w:pPr>
            <w:r>
              <w:rPr/>
              <w:t>​</w:t>
            </w:r>
          </w:p>
        </w:tc>
        <w:tc>
          <w:tcPr>
            <w:tcW w:w="1227" w:type="dxa"/>
            <w:tcBorders>
              <w:bottom w:val="single" w:sz="2" w:space="0" w:color="596E80"/>
            </w:tcBorders>
            <w:shd w:fill="CCEEFF" w:val="clear"/>
            <w:tcMar>
              <w:bottom w:w="50" w:type="dxa"/>
            </w:tcMar>
            <w:vAlign w:val="center"/>
          </w:tcPr>
          <w:p>
            <w:pPr>
              <w:pStyle w:val="TableContents"/>
              <w:bidi w:val="0"/>
              <w:spacing w:before="0" w:after="283"/>
              <w:jc w:val="right"/>
              <w:rPr/>
            </w:pPr>
            <w:r>
              <w:rPr/>
              <w:t>4,166,667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4" w:type="dxa"/>
            <w:tcBorders>
              <w:bottom w:val="single" w:sz="2" w:space="0" w:color="596E80"/>
            </w:tcBorders>
            <w:shd w:fill="CCEEFF" w:val="clear"/>
            <w:tcMar>
              <w:bottom w:w="50" w:type="dxa"/>
            </w:tcMar>
            <w:vAlign w:val="center"/>
          </w:tcPr>
          <w:p>
            <w:pPr>
              <w:pStyle w:val="TableContents"/>
              <w:bidi w:val="0"/>
              <w:spacing w:before="0" w:after="283"/>
              <w:jc w:val="right"/>
              <w:rPr/>
            </w:pPr>
            <w:r>
              <w:rPr/>
              <w:t>​</w:t>
            </w:r>
          </w:p>
        </w:tc>
        <w:tc>
          <w:tcPr>
            <w:tcW w:w="1525" w:type="dxa"/>
            <w:tcBorders>
              <w:bottom w:val="single" w:sz="2" w:space="0" w:color="596E80"/>
            </w:tcBorders>
            <w:shd w:fill="CCEEFF" w:val="clear"/>
            <w:tcMar>
              <w:bottom w:w="50" w:type="dxa"/>
            </w:tcMar>
            <w:vAlign w:val="center"/>
          </w:tcPr>
          <w:p>
            <w:pPr>
              <w:pStyle w:val="TableContents"/>
              <w:bidi w:val="0"/>
              <w:spacing w:before="0" w:after="283"/>
              <w:jc w:val="right"/>
              <w:rPr/>
            </w:pPr>
            <w:r>
              <w:rPr/>
              <w:t>4,166,667</w:t>
            </w:r>
          </w:p>
        </w:tc>
        <w:tc>
          <w:tcPr>
            <w:tcW w:w="13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37" w:type="dxa"/>
            <w:tcBorders/>
            <w:vAlign w:val="center"/>
          </w:tcPr>
          <w:p>
            <w:pPr>
              <w:pStyle w:val="TableContents"/>
              <w:bidi w:val="0"/>
              <w:spacing w:before="0" w:after="0"/>
              <w:ind w:left="200" w:right="0" w:hanging="0"/>
              <w:jc w:val="left"/>
              <w:rPr/>
            </w:pPr>
            <w:r>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double" w:sz="8" w:space="0" w:color="596E80"/>
            </w:tcBorders>
            <w:tcMar>
              <w:bottom w:w="50" w:type="dxa"/>
            </w:tcMar>
            <w:vAlign w:val="center"/>
          </w:tcPr>
          <w:p>
            <w:pPr>
              <w:pStyle w:val="TableContents"/>
              <w:bidi w:val="0"/>
              <w:spacing w:before="0" w:after="283"/>
              <w:jc w:val="right"/>
              <w:rPr/>
            </w:pPr>
            <w:r>
              <w:rPr/>
              <w:t>​</w:t>
            </w:r>
          </w:p>
        </w:tc>
        <w:tc>
          <w:tcPr>
            <w:tcW w:w="1227" w:type="dxa"/>
            <w:tcBorders>
              <w:bottom w:val="double" w:sz="8" w:space="0" w:color="596E80"/>
            </w:tcBorders>
            <w:tcMar>
              <w:bottom w:w="50" w:type="dxa"/>
            </w:tcMar>
            <w:vAlign w:val="center"/>
          </w:tcPr>
          <w:p>
            <w:pPr>
              <w:pStyle w:val="TableContents"/>
              <w:bidi w:val="0"/>
              <w:spacing w:before="0" w:after="283"/>
              <w:jc w:val="right"/>
              <w:rPr/>
            </w:pPr>
            <w:r>
              <w:rPr/>
              <w:t>55,555,556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left"/>
              <w:rPr/>
            </w:pPr>
            <w:r>
              <w:rPr/>
              <w:t>​</w:t>
            </w:r>
          </w:p>
        </w:tc>
        <w:tc>
          <w:tcPr>
            <w:tcW w:w="134" w:type="dxa"/>
            <w:tcBorders>
              <w:bottom w:val="double" w:sz="8" w:space="0" w:color="596E80"/>
            </w:tcBorders>
            <w:tcMar>
              <w:bottom w:w="50" w:type="dxa"/>
            </w:tcMar>
            <w:vAlign w:val="center"/>
          </w:tcPr>
          <w:p>
            <w:pPr>
              <w:pStyle w:val="TableContents"/>
              <w:bidi w:val="0"/>
              <w:spacing w:before="0" w:after="283"/>
              <w:jc w:val="right"/>
              <w:rPr/>
            </w:pPr>
            <w:r>
              <w:rPr/>
              <w:t>​</w:t>
            </w:r>
          </w:p>
        </w:tc>
        <w:tc>
          <w:tcPr>
            <w:tcW w:w="1525" w:type="dxa"/>
            <w:tcBorders>
              <w:bottom w:val="double" w:sz="8" w:space="0" w:color="596E80"/>
            </w:tcBorders>
            <w:tcMar>
              <w:bottom w:w="50" w:type="dxa"/>
            </w:tcMar>
            <w:vAlign w:val="center"/>
          </w:tcPr>
          <w:p>
            <w:pPr>
              <w:pStyle w:val="TableContents"/>
              <w:bidi w:val="0"/>
              <w:spacing w:before="0" w:after="283"/>
              <w:jc w:val="right"/>
              <w:rPr/>
            </w:pPr>
            <w:r>
              <w:rPr/>
              <w:t>55,555,556</w:t>
            </w:r>
          </w:p>
        </w:tc>
        <w:tc>
          <w:tcPr>
            <w:tcW w:w="134"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50" w:before="244"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obligations of the underwriters under the underwriting agreement are several and not joint. The underwriting agreement provides that the underwriters’ obligation to purchase shares of our common stock and purchase warrants depends on the satisfaction of certain conditions precedent contained in the underwriting agreement, including that the representations and warranties made by us are true and our obligations have been performed, the receipt by the underwriters of officers’ certificates and legal opinions and approval of certain legal matters by their counsel.</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5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Subject to those conditions, the underwriters have severally agreed to purchase and pay for all such shares of common stock and purchase warrants if any are purchased. However, the underwriters are not obligated to take or pay for the shares of our common stock and purchase warrants covered by the underwriters’ purchase option described below, unless and until such option is exercised.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5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shares of common stock and purchase warrants are being offered by the underwriters, subject to prior sale, when, as and if issued to and accepted by them. The underwriters reserve the right to withdraw, cancel or modify this offer and to reject orders in whole or in part. The obligations of the underwriters may also be terminated upon the occurrence of the events specified in the underwriting agreement.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Option to Purchase Additional Shares and Purchase Warrants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5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have granted the underwriters an option, exercisable for 30 days from the date of this prospectus supplement, to purchase up to an aggregate of 8,333,333 additional shares of our common stock and/or warrants to purchase up to 8,333,333 additional shares of our common stock from us at the applicable public offering price set forth on the cover page of this prospectus supplement, less underwriting discounts and commissions. If the underwriters exercise this option, each underwriter will be obligated, subject to certain conditions, to purchase a number of additional shares proportionate to that underwriter’s initial purchase commitment as indicated in the table above for which the option has been exercised.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Discounts and Expenses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5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underwriters propose to offer the shares of common stock and accompanying purchase warrants to the public at the combined public offering price set forth on the cover page of this prospectus supplement and to dealers at that price less a concession not in excess of  $0.03564 per share of common stock and accompanying purchase warrant. After the offering, the public offering prices and concessions to dealers may be reduced by the underwriters.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5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following table shows the combined public offering price and total underwriting discount that we will pay to the underwriters and the proceeds we will receive before expenses. These amounts are shown assuming both no exercise and full exercise of the underwriters’ option to purchase additional shares of common stock and/or purchase warrants.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tbl>
      <w:tblPr>
        <w:tblW w:w="8812" w:type="dxa"/>
        <w:jc w:val="left"/>
        <w:tblInd w:w="1393" w:type="dxa"/>
        <w:tblLayout w:type="fixed"/>
        <w:tblCellMar>
          <w:top w:w="0" w:type="dxa"/>
          <w:left w:w="0" w:type="dxa"/>
          <w:bottom w:w="28" w:type="dxa"/>
          <w:right w:w="0" w:type="dxa"/>
        </w:tblCellMar>
      </w:tblPr>
      <w:tblGrid>
        <w:gridCol w:w="2428"/>
        <w:gridCol w:w="109"/>
        <w:gridCol w:w="109"/>
        <w:gridCol w:w="149"/>
        <w:gridCol w:w="311"/>
        <w:gridCol w:w="1057"/>
        <w:gridCol w:w="151"/>
        <w:gridCol w:w="109"/>
        <w:gridCol w:w="109"/>
        <w:gridCol w:w="109"/>
        <w:gridCol w:w="226"/>
        <w:gridCol w:w="1509"/>
        <w:gridCol w:w="109"/>
        <w:gridCol w:w="109"/>
        <w:gridCol w:w="109"/>
        <w:gridCol w:w="109"/>
        <w:gridCol w:w="226"/>
        <w:gridCol w:w="1509"/>
        <w:gridCol w:w="109"/>
        <w:gridCol w:w="156"/>
      </w:tblGrid>
      <w:tr>
        <w:trPr/>
        <w:tc>
          <w:tcPr>
            <w:tcW w:w="24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8" w:type="dxa"/>
            <w:gridSpan w:val="4"/>
            <w:tcBorders>
              <w:bottom w:val="single" w:sz="2" w:space="0" w:color="596E80"/>
            </w:tcBorders>
            <w:vAlign w:val="center"/>
          </w:tcPr>
          <w:p>
            <w:pPr>
              <w:pStyle w:val="TableContents"/>
              <w:bidi w:val="0"/>
              <w:spacing w:before="0" w:after="0"/>
              <w:jc w:val="center"/>
              <w:rPr/>
            </w:pPr>
            <w:r>
              <w:rPr/>
              <w:t xml:space="preserve">Per Share and </w:t>
              <w:br/>
              <w:t xml:space="preserve">Accompanying </w:t>
              <w:br/>
              <w:t xml:space="preserve">Purchase Warrant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53" w:type="dxa"/>
            <w:gridSpan w:val="4"/>
            <w:tcBorders>
              <w:bottom w:val="single" w:sz="2" w:space="0" w:color="596E80"/>
            </w:tcBorders>
            <w:vAlign w:val="center"/>
          </w:tcPr>
          <w:p>
            <w:pPr>
              <w:pStyle w:val="TableContents"/>
              <w:bidi w:val="0"/>
              <w:spacing w:before="0" w:after="0"/>
              <w:jc w:val="center"/>
              <w:rPr/>
            </w:pPr>
            <w:r>
              <w:rPr/>
              <w:t>Total Without</w:t>
              <w:br/>
              <w:t xml:space="preserve">Option Exercise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53" w:type="dxa"/>
            <w:gridSpan w:val="4"/>
            <w:tcBorders>
              <w:bottom w:val="single" w:sz="2" w:space="0" w:color="596E80"/>
            </w:tcBorders>
            <w:vAlign w:val="center"/>
          </w:tcPr>
          <w:p>
            <w:pPr>
              <w:pStyle w:val="TableContents"/>
              <w:bidi w:val="0"/>
              <w:spacing w:before="0" w:after="0"/>
              <w:jc w:val="center"/>
              <w:rPr/>
            </w:pPr>
            <w:r>
              <w:rPr/>
              <w:t>Total With Full</w:t>
              <w:br/>
              <w:t xml:space="preserve">Option Exercise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428" w:type="dxa"/>
            <w:tcBorders/>
            <w:shd w:fill="CCEEFF" w:val="clear"/>
            <w:tcMar>
              <w:bottom w:w="0" w:type="dxa"/>
            </w:tcMar>
            <w:vAlign w:val="center"/>
          </w:tcPr>
          <w:p>
            <w:pPr>
              <w:pStyle w:val="TableContents"/>
              <w:bidi w:val="0"/>
              <w:spacing w:before="0" w:after="0"/>
              <w:jc w:val="left"/>
              <w:rPr/>
            </w:pPr>
            <w:r>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11"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 xml:space="preserve">0.9900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09" w:type="dxa"/>
            <w:tcBorders/>
            <w:shd w:fill="CCEEFF" w:val="clear"/>
            <w:tcMar>
              <w:bottom w:w="0" w:type="dxa"/>
            </w:tcMar>
            <w:vAlign w:val="center"/>
          </w:tcPr>
          <w:p>
            <w:pPr>
              <w:pStyle w:val="TableContents"/>
              <w:bidi w:val="0"/>
              <w:spacing w:before="0" w:after="283"/>
              <w:jc w:val="right"/>
              <w:rPr/>
            </w:pPr>
            <w:r>
              <w:rPr/>
              <w:t xml:space="preserve">55,000,000.44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09" w:type="dxa"/>
            <w:tcBorders/>
            <w:shd w:fill="CCEEFF" w:val="clear"/>
            <w:tcMar>
              <w:bottom w:w="0" w:type="dxa"/>
            </w:tcMar>
            <w:vAlign w:val="center"/>
          </w:tcPr>
          <w:p>
            <w:pPr>
              <w:pStyle w:val="TableContents"/>
              <w:bidi w:val="0"/>
              <w:spacing w:before="0" w:after="283"/>
              <w:jc w:val="right"/>
              <w:rPr/>
            </w:pPr>
            <w:r>
              <w:rPr/>
              <w:t xml:space="preserve">63,250,000.11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428" w:type="dxa"/>
            <w:tcBorders>
              <w:bottom w:val="single" w:sz="2" w:space="0" w:color="FFFFFF"/>
            </w:tcBorders>
            <w:tcMar>
              <w:bottom w:w="50" w:type="dxa"/>
            </w:tcMar>
            <w:vAlign w:val="center"/>
          </w:tcPr>
          <w:p>
            <w:pPr>
              <w:pStyle w:val="TableContents"/>
              <w:bidi w:val="0"/>
              <w:spacing w:before="0" w:after="0"/>
              <w:jc w:val="left"/>
              <w:rPr/>
            </w:pPr>
            <w:r>
              <w:rPr/>
              <w:t xml:space="preserve">Underwriting discounts and commissions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 w:type="dxa"/>
            <w:tcBorders>
              <w:bottom w:val="single" w:sz="2" w:space="0" w:color="FFFFFF"/>
            </w:tcBorders>
            <w:vAlign w:val="center"/>
          </w:tcPr>
          <w:p>
            <w:pPr>
              <w:pStyle w:val="TableContents"/>
              <w:bidi w:val="0"/>
              <w:spacing w:before="0" w:after="283"/>
              <w:jc w:val="left"/>
              <w:rPr/>
            </w:pPr>
            <w:r>
              <w:rPr/>
              <w:t>​</w:t>
            </w:r>
          </w:p>
        </w:tc>
        <w:tc>
          <w:tcPr>
            <w:tcW w:w="311" w:type="dxa"/>
            <w:tcBorders>
              <w:bottom w:val="single" w:sz="2" w:space="0" w:color="596E80"/>
            </w:tcBorders>
            <w:tcMar>
              <w:bottom w:w="50" w:type="dxa"/>
            </w:tcMar>
            <w:vAlign w:val="center"/>
          </w:tcPr>
          <w:p>
            <w:pPr>
              <w:pStyle w:val="TableContents"/>
              <w:bidi w:val="0"/>
              <w:spacing w:before="0" w:after="283"/>
              <w:jc w:val="right"/>
              <w:rPr/>
            </w:pPr>
            <w:r>
              <w:rPr/>
              <w:t>$</w:t>
            </w:r>
          </w:p>
        </w:tc>
        <w:tc>
          <w:tcPr>
            <w:tcW w:w="1057" w:type="dxa"/>
            <w:tcBorders>
              <w:bottom w:val="single" w:sz="2" w:space="0" w:color="596E80"/>
            </w:tcBorders>
            <w:tcMar>
              <w:bottom w:w="50" w:type="dxa"/>
            </w:tcMar>
            <w:vAlign w:val="center"/>
          </w:tcPr>
          <w:p>
            <w:pPr>
              <w:pStyle w:val="TableContents"/>
              <w:bidi w:val="0"/>
              <w:spacing w:before="0" w:after="283"/>
              <w:jc w:val="right"/>
              <w:rPr/>
            </w:pPr>
            <w:r>
              <w:rPr/>
              <w:t xml:space="preserve">0.0594 </w:t>
            </w:r>
          </w:p>
        </w:tc>
        <w:tc>
          <w:tcPr>
            <w:tcW w:w="1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596E80"/>
            </w:tcBorders>
            <w:tcMar>
              <w:bottom w:w="50" w:type="dxa"/>
            </w:tcMar>
            <w:vAlign w:val="center"/>
          </w:tcPr>
          <w:p>
            <w:pPr>
              <w:pStyle w:val="TableContents"/>
              <w:bidi w:val="0"/>
              <w:spacing w:before="0" w:after="283"/>
              <w:jc w:val="right"/>
              <w:rPr/>
            </w:pPr>
            <w:r>
              <w:rPr/>
              <w:t>$</w:t>
            </w:r>
          </w:p>
        </w:tc>
        <w:tc>
          <w:tcPr>
            <w:tcW w:w="1509" w:type="dxa"/>
            <w:tcBorders>
              <w:bottom w:val="single" w:sz="2" w:space="0" w:color="596E80"/>
            </w:tcBorders>
            <w:tcMar>
              <w:bottom w:w="50" w:type="dxa"/>
            </w:tcMar>
            <w:vAlign w:val="center"/>
          </w:tcPr>
          <w:p>
            <w:pPr>
              <w:pStyle w:val="TableContents"/>
              <w:bidi w:val="0"/>
              <w:spacing w:before="0" w:after="283"/>
              <w:jc w:val="right"/>
              <w:rPr/>
            </w:pPr>
            <w:r>
              <w:rPr/>
              <w:t xml:space="preserve">3,300,000.03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596E80"/>
            </w:tcBorders>
            <w:tcMar>
              <w:bottom w:w="50" w:type="dxa"/>
            </w:tcMar>
            <w:vAlign w:val="center"/>
          </w:tcPr>
          <w:p>
            <w:pPr>
              <w:pStyle w:val="TableContents"/>
              <w:bidi w:val="0"/>
              <w:spacing w:before="0" w:after="283"/>
              <w:jc w:val="right"/>
              <w:rPr/>
            </w:pPr>
            <w:r>
              <w:rPr/>
              <w:t>$</w:t>
            </w:r>
          </w:p>
        </w:tc>
        <w:tc>
          <w:tcPr>
            <w:tcW w:w="1509" w:type="dxa"/>
            <w:tcBorders>
              <w:bottom w:val="single" w:sz="2" w:space="0" w:color="596E80"/>
            </w:tcBorders>
            <w:tcMar>
              <w:bottom w:w="50" w:type="dxa"/>
            </w:tcMar>
            <w:vAlign w:val="center"/>
          </w:tcPr>
          <w:p>
            <w:pPr>
              <w:pStyle w:val="TableContents"/>
              <w:bidi w:val="0"/>
              <w:spacing w:before="0" w:after="283"/>
              <w:jc w:val="right"/>
              <w:rPr/>
            </w:pPr>
            <w:r>
              <w:rPr/>
              <w:t xml:space="preserve">3,795,000.01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428" w:type="dxa"/>
            <w:tcBorders/>
            <w:shd w:fill="CCEEFF" w:val="clear"/>
            <w:tcMar>
              <w:bottom w:w="0" w:type="dxa"/>
            </w:tcMar>
            <w:vAlign w:val="center"/>
          </w:tcPr>
          <w:p>
            <w:pPr>
              <w:pStyle w:val="TableContents"/>
              <w:bidi w:val="0"/>
              <w:spacing w:lineRule="atLeast" w:line="142" w:before="0" w:after="0"/>
              <w:jc w:val="left"/>
              <w:rPr/>
            </w:pPr>
            <w:r>
              <w:rPr/>
              <w:t>Proceeds, before expenses, to us</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11" w:type="dxa"/>
            <w:tcBorders>
              <w:bottom w:val="double" w:sz="8" w:space="0" w:color="596E80"/>
            </w:tcBorders>
            <w:shd w:fill="CCEEFF" w:val="clear"/>
            <w:tcMar>
              <w:bottom w:w="50" w:type="dxa"/>
            </w:tcMar>
            <w:vAlign w:val="center"/>
          </w:tcPr>
          <w:p>
            <w:pPr>
              <w:pStyle w:val="TableContents"/>
              <w:bidi w:val="0"/>
              <w:spacing w:before="0" w:after="283"/>
              <w:jc w:val="right"/>
              <w:rPr/>
            </w:pPr>
            <w:r>
              <w:rPr/>
              <w:t>$</w:t>
            </w:r>
          </w:p>
        </w:tc>
        <w:tc>
          <w:tcPr>
            <w:tcW w:w="1057" w:type="dxa"/>
            <w:tcBorders>
              <w:bottom w:val="double" w:sz="8" w:space="0" w:color="596E80"/>
            </w:tcBorders>
            <w:shd w:fill="CCEEFF" w:val="clear"/>
            <w:tcMar>
              <w:bottom w:w="50" w:type="dxa"/>
            </w:tcMar>
            <w:vAlign w:val="center"/>
          </w:tcPr>
          <w:p>
            <w:pPr>
              <w:pStyle w:val="TableContents"/>
              <w:bidi w:val="0"/>
              <w:spacing w:before="0" w:after="283"/>
              <w:jc w:val="right"/>
              <w:rPr/>
            </w:pPr>
            <w:r>
              <w:rPr/>
              <w:t xml:space="preserve">0.9306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596E80"/>
            </w:tcBorders>
            <w:shd w:fill="CCEEFF" w:val="clear"/>
            <w:tcMar>
              <w:bottom w:w="50" w:type="dxa"/>
            </w:tcMar>
            <w:vAlign w:val="center"/>
          </w:tcPr>
          <w:p>
            <w:pPr>
              <w:pStyle w:val="TableContents"/>
              <w:bidi w:val="0"/>
              <w:spacing w:before="0" w:after="283"/>
              <w:jc w:val="right"/>
              <w:rPr/>
            </w:pPr>
            <w:r>
              <w:rPr/>
              <w:t>$</w:t>
            </w:r>
          </w:p>
        </w:tc>
        <w:tc>
          <w:tcPr>
            <w:tcW w:w="1509" w:type="dxa"/>
            <w:tcBorders>
              <w:bottom w:val="double" w:sz="8" w:space="0" w:color="596E80"/>
            </w:tcBorders>
            <w:shd w:fill="CCEEFF" w:val="clear"/>
            <w:tcMar>
              <w:bottom w:w="50" w:type="dxa"/>
            </w:tcMar>
            <w:vAlign w:val="center"/>
          </w:tcPr>
          <w:p>
            <w:pPr>
              <w:pStyle w:val="TableContents"/>
              <w:bidi w:val="0"/>
              <w:spacing w:before="0" w:after="283"/>
              <w:jc w:val="right"/>
              <w:rPr/>
            </w:pPr>
            <w:r>
              <w:rPr/>
              <w:t xml:space="preserve">51,700,000.41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596E80"/>
            </w:tcBorders>
            <w:shd w:fill="CCEEFF" w:val="clear"/>
            <w:tcMar>
              <w:bottom w:w="50" w:type="dxa"/>
            </w:tcMar>
            <w:vAlign w:val="center"/>
          </w:tcPr>
          <w:p>
            <w:pPr>
              <w:pStyle w:val="TableContents"/>
              <w:bidi w:val="0"/>
              <w:spacing w:before="0" w:after="283"/>
              <w:jc w:val="right"/>
              <w:rPr/>
            </w:pPr>
            <w:r>
              <w:rPr/>
              <w:t>$</w:t>
            </w:r>
          </w:p>
        </w:tc>
        <w:tc>
          <w:tcPr>
            <w:tcW w:w="1509" w:type="dxa"/>
            <w:tcBorders>
              <w:bottom w:val="double" w:sz="8" w:space="0" w:color="596E80"/>
            </w:tcBorders>
            <w:shd w:fill="CCEEFF" w:val="clear"/>
            <w:tcMar>
              <w:bottom w:w="50" w:type="dxa"/>
            </w:tcMar>
            <w:vAlign w:val="center"/>
          </w:tcPr>
          <w:p>
            <w:pPr>
              <w:pStyle w:val="TableContents"/>
              <w:bidi w:val="0"/>
              <w:spacing w:before="0" w:after="283"/>
              <w:jc w:val="right"/>
              <w:rPr/>
            </w:pPr>
            <w:r>
              <w:rPr/>
              <w:t>59,455,000.10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180" w:before="152" w:after="0"/>
        <w:ind w:left="1593" w:right="0" w:hanging="0"/>
        <w:jc w:val="left"/>
        <w:rPr>
          <w:rFonts w:ascii="Times New Roman;Times;serif" w:hAnsi="Times New Roman;Times;serif"/>
          <w:b w:val="false"/>
          <w:i w:val="false"/>
          <w:caps w:val="false"/>
          <w:smallCaps w:val="false"/>
          <w:color w:val="596E80"/>
          <w:sz w:val="16"/>
        </w:rPr>
      </w:pPr>
      <w:r>
        <w:rPr>
          <w:rFonts w:ascii="Times New Roman;Times;serif" w:hAnsi="Times New Roman;Times;serif"/>
          <w:b w:val="false"/>
          <w:i w:val="false"/>
          <w:caps w:val="false"/>
          <w:smallCaps w:val="false"/>
          <w:color w:val="596E80"/>
          <w:sz w:val="16"/>
        </w:rPr>
        <w:t>The amount of the offering proceeds to us presented in this table does not give effect to the exercise, if any, of the purchase warrants.</w:t>
      </w:r>
      <w:r>
        <mc:AlternateContent>
          <mc:Choice Requires="wps">
            <w:drawing>
              <wp:anchor behindDoc="0" distT="109220" distB="0" distL="0" distR="0" simplePos="0" locked="0" layoutInCell="1" allowOverlap="1" relativeHeight="86">
                <wp:simplePos x="0" y="0"/>
                <wp:positionH relativeFrom="column">
                  <wp:align>left</wp:align>
                </wp:positionH>
                <wp:positionV relativeFrom="line">
                  <wp:align>top</wp:align>
                </wp:positionV>
                <wp:extent cx="127000" cy="23368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233680"/>
                        </a:xfrm>
                        <a:prstGeom prst="rect"/>
                        <a:solidFill>
                          <a:srgbClr val="FFFFFF"/>
                        </a:solidFill>
                      </wps:spPr>
                      <wps:txbx>
                        <w:txbxContent>
                          <w:p>
                            <w:pPr>
                              <w:pStyle w:val="TextBody"/>
                              <w:bidi w:val="0"/>
                              <w:spacing w:before="0" w:after="283"/>
                              <w:jc w:val="left"/>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0pt;height:18.4pt;mso-wrap-distance-left:0pt;mso-wrap-distance-right:0pt;mso-wrap-distance-top:8.6pt;mso-wrap-distance-bottom:0pt;margin-top:8.6pt;mso-position-vertical:top;mso-position-vertical-relative:text;margin-left:0pt;mso-position-horizontal:left;mso-position-horizontal-relative:text">
                <v:textbox>
                  <w:txbxContent>
                    <w:p>
                      <w:pPr>
                        <w:pStyle w:val="TextBody"/>
                        <w:bidi w:val="0"/>
                        <w:spacing w:before="0" w:after="283"/>
                        <w:jc w:val="left"/>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5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estimate that the total expenses of the offering, excluding the underwriting discounts and commissions, will be approximately $630,000. We have also agreed to reimburse the underwriters for certain of their fees and expenses of their counsel up to $125,000. In accordance with FINRA Rule 5110 these reimbursed expenses are deemed underwriting compensation for this offering.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5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Upon any exercise for cash of the warrants issued in this offering, we will be required to pay the underwriters a commission equal to 6.0% of the aggregate gross proceeds received upon the exercise of such warrants if and to the extent that such commission is not prohibited under the rules of the Financial Industry Regulatory Authority, including Rule 5110(g)(10).</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Lock-Up Agreements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5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For a period of 60 days following the date of the underwriting agreement, we and our executive officers, directors and certain stockholders, collectively, the “Lock-Up Parties”, have agreed that without the prior written consent of the representatives, and subject to specified exceptions, not to:</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32"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collectively, the “Lock-Up Securities”, or exercise any right with respect to the registration of any of the Lock-Up Securities, or file or cause to be filed any registration statement in connection therewith, under the Securities Act,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8382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30"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8255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5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restrictions on our actions, as described above, do not apply to (i) the shares of common stock to be sold hereunder, including the exercise of any shares of common stock upon the exercise of any purchase warrants, (ii) the issuance of shares of common stock or options to purchase shares of common stock or restricted stock units or similar equity securities, or the issuance of shares of common stock upon exercise of options, settlement of restricted stock units or similar equity securities, pursuant to any options, share bonus or other share plan or arrangement pursuant to an incentive plan of ours in effect on the date of this prospectus supplement and described in this prospectus supplement, (iii) the filing by us of a registration statement on Form S-8 in respect of any shares or other equity instruments issued pursuant to any plans or programs described above, (iv) the issuance of any shares of common stock upon the exercise of an option or warrant or upon the conversion of a convertible security outstanding on the date of this prospectus supplement and referred to in this prospectus supplement, or (v) the issuance of shares of common stock or securities convertible into or exercisable or exchangeable for common stock in connection with any acquisition, business combination, any collaboration, licensing or joint venture or other strategic transaction involving us; provided, that the aggregate number of common stock or securities convertible into or exercisable for common stock (on an as-converted or as-exercised basis, as the case may be) that we may issue or agree to issue pursuant to this clause (v) shall not exceed 5% of the total number of our common stock issued and outstanding immediately following the completion of this offering; and provided further, that each recipient of common stock or securities convertible into or exercisable for common stock pursuant to this clause (v) shall execute a lock-up agreement.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restrictions described above do not apply to our directors or officers with respect to transfers of common stock:</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8"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a bona fide gift or gifts including a bona fide gift or gifts to a charitable organization or educational institution;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3429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the immediate family of the Lock-Up Party or any trust or other entity for the direct or indirect benefit of the Lock-Up Party or the immediate family of the Lock-Up Party (for purposes hereof, “immediate family” shall mean any relationship by blood, marriage or adoption, not more remote than first cousin);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3429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a distribution or other transfer to limited or general partners, stockholders or other equity holders of the Lock-Up Party;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3429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the Lock-Up Party’s affiliates or to any investment fund or other entity controlled or managed by the Lock-Up Party;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3429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by operation of law pursuant to an order of a court or a regulatory agency or pursuant to a qualified domestic relations order or in connection with a divorce settlement;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3429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(v)</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(v)</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by will or intestacy;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3429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(vi)</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us in satisfaction with any tax withholding obligation;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3429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(vii)</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(vii)</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transactions relating to shares of common stock acquired in this offering or in open market transactions after the completion of this offering;</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3429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(viii)</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(viii)</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us pursuant to agreements under which we have the option to repurchase such shares or a right of first refusal with respect to transfers of such shares upon termination of service of the Lock-Up Party;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3429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(ix)</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(ix)</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transfers to us upon a vesting event of our securities or upon the exercise or conversion of options or warrants to purchase our securities in each case for cash or on a “cashless” or “net exercise” basis or any transfer to cover tax withholding obligations of the Lock-Up Party in connection with such vesting or exercise, pursuant to an incentive plan of ours; provided, however, that the underlying shares of common stock shall continue to be subject to the restrictions on transfer set forth in the lock-up agreement;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3429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(x)</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(x)</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3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a bona fide third party pursuant to a merger, consolidation, tender offer or other similar transaction made to all holders of common stock and involving a change of control and approved by our board of directors; provided that, in the event that such change of control is not completed, the Lock-Up Party’s Lock-Up Securities shall remain subject to the restrictions contained in the lock-up agreement.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3429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40" w:before="0" w:after="283"/>
                              <w:jc w:val="left"/>
                              <w:rPr/>
                            </w:pPr>
                            <w:r>
                              <w:rPr/>
                              <w:t>(xi)</w:t>
                              <w:br/>
                            </w:r>
                          </w:p>
                        </w:txbxContent>
                      </wps:txbx>
                      <wps:bodyPr anchor="t" lIns="0" tIns="0" rIns="0" bIns="0">
                        <a:noAutofit/>
                      </wps:bodyPr>
                    </wps:wsp>
                  </a:graphicData>
                </a:graphic>
              </wp:anchor>
            </w:drawing>
          </mc:Choice>
          <mc:Fallback>
            <w:pict>
              <v:rect style="position:absolute;rotation:-0;width:27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(xi)</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Indemnification and Contribution</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have agreed to indemnify the underwriters, its affiliates, its selling agents, officers and directors and persons, if any, who control the underwriters, against certain liabilities, including liabilities under the Securities Act, and to contribute to payments that the underwriters may be required to make in respect of these liabilities.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Stabilization</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connection with this offering, the underwriters may engage in stabilizing transactions, over-allotment transactions, syndicate covering transactions and penalty bids.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Stabilizing transactions permit bids to purchase shares of common stock so long as the stabilizing bids do not exceed a specified maximum and are engaged in for the purpose of preventing or slowing a decline in the market price of the common stock while the offering is in progress.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Over-allotment transactions involve sales by the underwriters of shares of common stock in excess of the number of shares the underwriters are obligated to purchase. This creates a syndicate short position that may be either a covered short position or a naked short position. In a covered short position, the number of shares of common stock over-allotted by the underwriters are not greater than the number of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shares that they may purchase in the over-allotment option described herein. In a naked short position, the number of shares involved is greater than the number of shares in the over-allotment option described herein. The underwriters may close out any short position by exercising their over-allotment option and/or purchasing shares in the open market.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Penalty bids permit the representative to reclaim a selling concession from a syndicate member when the common stock originally sold by that syndicate member is purchased in stabilizing or syndicate covering transactions to cover syndicate short positions. These stabilizing transactions, over-allotment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Capital Market, in the over-the-counter market or otherwise and, if commenced, may be discontinued at any time.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However, the underwriters are not obligated to do so, and the underwriters may discontinue any market-making activities at any time without notice in their sole discretion.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Listing</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Our shares of common stock are listed on The Nasdaq Capital Market under the symbol “OTLK.” The purchase warrants are not anticipated to be listed on any securities exchange or recognized trading system.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Other Activities and Relationships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underwriters and their respective affiliates have engaged in, and may in the future engage in, investment banking and other commercial dealings in the ordinary course of business with us or our affiliates and have received, or may in the future receive, customary fees and commissions for these transactions.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make investment recommendations and/or publish or express independent research views in respect of such securities or financial instruments and may hold, or recommend to clients that they acquire, long and/or short positions in such securities and instruments.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Electronic Distribution</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A prospectus supplement in electronic format may be made available by e-mail or on the websites or through online services maintained by one or more of the underwriters or their affiliates. In those cases, prospective investors may view offering terms online and may be allowed to place orders online. The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underwriters may agree with us to allocate a specific number of shares of our common stock for sale to online brokerage account holders. Any such allocation for online distributions will be made by the underwriters on the same basis as other allocations. Other than this prospectus supplement in electronic format, the information on the underwriters’ websites and any information contained on any other website maintained by the underwriters is not part of this prospectus supplement, has not been approved and/or endorsed by the underwriters or us and should not be relied upon by investors.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Selling Restrictions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or any documents incorporated by reference herein, be distributed or published in any jurisdiction, except under circumstances that will result in compliance with the applicable rules and regulations of that jurisdiction. Persons into whose possession this prospectus supplement or the accompanying prospectus comes are advised to inform themselves about and to observe any restrictions relating to the offering and the distribution of this prospectus supplement and the accompanying prospectus. This prospectus supplement and the accompanying prospectus, including any documents incorporated by reference herein, does not constitute an offer to sell or a solicitation of an offer to buy the securities offered by this prospectus supplement and the accompanying prospectus in any jurisdiction in which such an offer or a solicitation is unlawful.</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Notice to Prospective Investors in the European Economic Area</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common stock may be made to the public in that Relevant State at any time under the following exemptions under the Prospectus Regulation: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4"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any legal entity which is a qualified investor as defined under Article 2 of the Prospectus Regulation;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fewer than 150 natural or legal persons (other than qualified investors as defined under Article 2 of the Prospectus Regulation), subject to obtaining the prior consent of the underwriter;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(b)</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any other circumstances falling within Article 1(4) of the Prospectus Regulation,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(c)</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provided that no such offer of securities shall require us or any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underwriter and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 has been obtained to each such proposed offer or resale.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Notice to Prospective Investors in the United Kingdom</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relation to the United Kingdom, no securities have been offered or will be offered pursuant to the offering to the public in the United Kingdom prior to the publication of a prospectus in relation to the securities that either have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securities may be offered to the public in the United Kingdom at any time: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6"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any legal entity which is a qualified investor as defined under Article 2 of the UK Prospectus Regulation;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8001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6"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fewer than 150 natural or legal persons (other than qualified investors as defined under Article 2 of the UK Prospectus Regulation), subject to obtaining the prior consent of the underwriter for any such offer;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8001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t>(b)</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6"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any other circumstances falling within Section 86 of the Financial Services and Markets Act 2000 (the FSMA).</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8001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t>(c)</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provided that no such offer of the securities shall require us or any underwriter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FSMA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securities in the United Kingdom within the meaning of the FSMA.</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Notice to Prospective Investors in Canada</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Pursuant to section 3A.3 of National Instrument 33-105 Underwriting Conflicts (NI 33-105), the underwriter is not required to comply with the disclosure requirements of NI 33-105 regarding underwriter conflicts of interest in connection with this offering.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Notice to Prospective Investors in Switzerland</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supplement does not constitute an offer to the public or a solicitation to purchase or invest in any securities. No securities have been offered or will be offered to the public in Switzerland, except that offers of our common stock may be made to the public in Switzerland at any time under the following exemptions under the Swiss Financial Services Act, or FinSA:</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6"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any person which is a professional client as defined under the FinSA;</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fewer than 500 persons (other than professional clients as defined under the FinSA), subject to obtaining the prior consent of the underwriter for any such offer;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(b)</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any other circumstances falling within Article 36 FinSA in connection with Article 44 of the Swiss Financial Services Ordinance,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(c)</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provided that no such offer of securities shall require the Company or any investment bank to publish a prospectus pursuant to Article 35 FinSA.</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The securities have not been and will not be listed or admitted to trading on a trading venue in Switzerland.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Neither this document nor any other offering or marketing material relating to the securities constitutes a prospectus as such term is understood pursuant to the FinSA and neither this document nor any other offering or marketing material relating to the securities may be publicly distributed or otherwise made publicly available in Switzerland.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Notice to Prospective Investors in the Dubai International Financial Centre, or DIFC</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This document relates to an Exempt Offer in accordance with the Markets Law, DIFC Law No.1 of 2012, as amended. This document is intended for distribution only to persons of a type specified in the Markets Law, DIFC Law No.1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Notice to Prospective Investors in Australia</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does not constitute a disclosure document or a prospectus under Chapter 6D.2 of the Corporations Act 2001 (Cth) (the Corporations Act);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524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524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may only be provided in Australia to select investors who are able to demonstrate that they fall within one or more of the categories of investors, available under section 708 of the Corporations Act (Exempt Investors).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524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S-30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sale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Notice to Prospective Investors in Hong Kong</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securities have not been offered or sold and will not be offered or sold in Hong Kong, by means of any document, other than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8"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“professional investors” as defined in the Securities and Futures Ordinance (Cap. 571 of the Laws of Hong Kong) (the SFO) of Hong Kong and any rules made thereunder;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other circumstances which do not result in the document being a “prospectus” as defined in the Companies (Winding Up and Miscellaneous Provisions) Ordinance (Cap. 32) of Hong Kong) (the CO) or which do not constitute an offer to the public within the meaning of the CO.</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(b)</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Notice to Prospective Investors in Japan</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Notice to Prospective Investors in Singapore</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supplement has not been registered as a prospectus with the Monetary Authority of Singapore. Accordingly, the securities have not been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Where the securities are subscribed or purchased under Section 275 of the SFA by a relevant person which is: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corporation (which is not an accredited investor (as defined in Section 4A of the SFA)) the sole business of which is to hold investments and the entire share capital of which is owned by one or more individuals, each of whom is an accredited investor;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trust (where the trustee is not an accredited investor) whose sole purpose is to hold investments and each beneficiary of the trust is an individual who is an accredited investor,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(b)</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S-31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752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securities or common stock-based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an institutional investor or to a relevant person, or to any person arising from an offer referred to in Section 275(1A) or Section 276(4)(i)(B) of the SFA;</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where no consideration is or will be given for the transfer;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(b)</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where the transfer is by operation of law;</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(c)</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(c)</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specified in Section 276(7) of the SFA;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(d)</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(d)</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specified in Regulation 32 of the Securities and Futures (Offers of Investments) (Shares and Debentures) Regulations of 2005 of Singapore (Regulation 32).</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(e)</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(e)</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Singapore SFA product classification. In connection with Section 309B of the SFA and the CMP Regulations 2018, unless otherwise specified before an offer of securities, we have determined, and hereby notify all relevant persons (as defined in Section 309A(1) of the SFA),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(f)</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(f)</w:t>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S-32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LEMA"/>
      <w:bookmarkEnd w:id="12"/>
      <w:r>
        <w:rPr>
          <w:rFonts w:ascii="calibri;arial;sans-serif" w:hAnsi="calibri;arial;sans-serif"/>
          <w:b w:val="false"/>
          <w:i w:val="false"/>
          <w:caps w:val="false"/>
          <w:smallCaps w:val="false"/>
          <w:color w:val="596E80"/>
          <w:sz w:val="16"/>
        </w:rPr>
        <w:t>​</w:t>
      </w:r>
      <w:bookmarkStart w:id="13" w:name="sEXP"/>
      <w:bookmarkEnd w:id="13"/>
      <w:r>
        <w:rPr>
          <w:rFonts w:ascii="calibri;arial;sans-serif" w:hAnsi="calibri;arial;sans-serif"/>
          <w:b w:val="false"/>
          <w:i w:val="false"/>
          <w:caps w:val="false"/>
          <w:smallCaps w:val="false"/>
          <w:color w:val="596E80"/>
          <w:sz w:val="16"/>
        </w:rPr>
        <w:t>​</w:t>
      </w:r>
      <w:bookmarkStart w:id="14" w:name="sWYCF"/>
      <w:bookmarkEnd w:id="14"/>
      <w:r>
        <w:rPr>
          <w:rFonts w:ascii="calibri;arial;sans-serif" w:hAnsi="calibri;arial;sans-serif"/>
          <w:b w:val="false"/>
          <w:i w:val="false"/>
          <w:caps w:val="false"/>
          <w:smallCaps w:val="false"/>
          <w:color w:val="596E80"/>
          <w:sz w:val="16"/>
        </w:rPr>
        <w:t>​</w:t>
      </w:r>
      <w:bookmarkStart w:id="15" w:name="sIOCI"/>
      <w:bookmarkEnd w:id="15"/>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LEGAL MATTERS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validity of the securities being offered by this prospectus supplement will be passed upon for us by Cooley LLP, Chicago, Illinois. The underwriters are being represented by Paul Hastings LLP, New York, New York with respect to US federal law.</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EXPERTS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consolidated financial statements of Outlook Therapeutics, Inc. as of September 30, 2025 and 2024, and for each of the years in the two-year period ended September 30, 2025, have been incorporated by reference herein in reliance upon the report of KPMG LLP, independent registered public accounting firm, incorporated by reference herein, and upon the authority of said firm as experts in accounting and auditing. The audit report covering the September 30, 2025 consolidated financial statements contains an explanatory paragraph that states that the Company has incurred recurring losses and negative cash flows from operations and has an accumulated deficit, that raise substantial doubt about its ability to continue as a going concern. The consolidated financial statements do not include any adjustments that might result from the outcome of that uncertainty.</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WHERE YOU CAN FIND MORE INFORMATION</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supplement and the accompanying prospectus are part of a registration statement on Form S-3 we filed with the SEC under the Securities Act and do not contain all the information set forth or incorporated by reference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http://www.outlooktherapeutics.com. Our website is not a part of this prospectus supplement and is not incorporated by reference in this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INCORPORATION OF CERTAIN INFORMATION BY REFERENCE</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and the accompanying prospectus. We incorporate by reference the documents listed below and any future filings (other than current reports furnished under Item 2.02 or Item 7.01 of Form 8-K and exhibits filed on such form that are related to such items unless such Form 8-K expressly provides to the contrary) we make with the SEC under Sections 13(a), 13(c), 14 or 15(d) of the Exchange Act after the date of this prospectus supplement and prior to the termination of the offering of the common stock covered by this prospectus supplement (Commission File No. 001-37759).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8" w:after="0"/>
        <w:ind w:left="2033" w:right="0" w:hanging="0"/>
        <w:jc w:val="left"/>
        <w:rPr/>
      </w:pPr>
      <w:r>
        <w:rPr>
          <w:rFonts w:ascii="Times New Roman;Times;serif" w:hAnsi="Times New Roman;Times;serif"/>
          <w:b w:val="false"/>
          <w:i w:val="false"/>
          <w:caps w:val="false"/>
          <w:smallCaps w:val="false"/>
          <w:color w:val="596E80"/>
          <w:sz w:val="20"/>
        </w:rPr>
        <w:t xml:space="preserve">our Annual Report on Form 10-K for the fiscal year ended September 30, 2025, filed with the SEC on </w:t>
      </w:r>
      <w:hyperlink r:id="rId8">
        <w:r>
          <w:rPr>
            <w:rStyle w:val="InternetLink"/>
          </w:rPr>
          <w:t>December 19, 2025</w:t>
        </w:r>
      </w:hyperlink>
      <w:r>
        <w:rPr>
          <w:rFonts w:ascii="Times New Roman;Times;serif" w:hAnsi="Times New Roman;Times;serif"/>
          <w:b w:val="false"/>
          <w:i w:val="false"/>
          <w:caps w:val="false"/>
          <w:smallCaps w:val="false"/>
          <w:color w:val="596E80"/>
          <w:sz w:val="20"/>
        </w:rPr>
        <w:t xml:space="preserve">, including the information specifically incorporated by reference therein from our Definitive Proxy Statement on Schedule 14A filed with the SEC on </w:t>
      </w:r>
      <w:hyperlink r:id="rId9">
        <w:r>
          <w:rPr>
            <w:rStyle w:val="InternetLink"/>
          </w:rPr>
          <w:t>January 26, 2026</w:t>
        </w:r>
      </w:hyperlink>
      <w:r>
        <w:rPr>
          <w:rFonts w:ascii="Times New Roman;Times;serif" w:hAnsi="Times New Roman;Times;serif"/>
          <w:b w:val="false"/>
          <w:i w:val="false"/>
          <w:caps w:val="false"/>
          <w:smallCaps w:val="false"/>
          <w:color w:val="596E80"/>
          <w:sz w:val="20"/>
        </w:rPr>
        <w: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524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pPr>
      <w:r>
        <w:rPr>
          <w:rFonts w:ascii="Times New Roman;Times;serif" w:hAnsi="Times New Roman;Times;serif"/>
          <w:b w:val="false"/>
          <w:i w:val="false"/>
          <w:caps w:val="false"/>
          <w:smallCaps w:val="false"/>
          <w:color w:val="596E80"/>
          <w:sz w:val="20"/>
        </w:rPr>
        <w:t xml:space="preserve">our Quarterly Reports on Form 10-Q for the quarters ended December 31, 2025, filed with the SEC on </w:t>
      </w:r>
      <w:hyperlink r:id="rId10">
        <w:r>
          <w:rPr>
            <w:rStyle w:val="InternetLink"/>
          </w:rPr>
          <w:t>February 17, 2026</w:t>
        </w:r>
      </w:hyperlink>
      <w:r>
        <w:rPr>
          <w:rFonts w:ascii="Times New Roman;Times;serif" w:hAnsi="Times New Roman;Times;serif"/>
          <w:b w:val="false"/>
          <w:i w:val="false"/>
          <w:caps w:val="false"/>
          <w:smallCaps w:val="false"/>
          <w:color w:val="596E80"/>
          <w:sz w:val="20"/>
        </w:rPr>
        <w:t xml:space="preserve"> and March 31, 2026, filed with the SEC on </w:t>
      </w:r>
      <w:hyperlink r:id="rId11">
        <w:r>
          <w:rPr>
            <w:rStyle w:val="InternetLink"/>
          </w:rPr>
          <w:t>May 15, 2026</w:t>
        </w:r>
      </w:hyperlink>
      <w:r>
        <w:rPr>
          <w:rFonts w:ascii="Times New Roman;Times;serif" w:hAnsi="Times New Roman;Times;serif"/>
          <w:b w:val="false"/>
          <w:i w:val="false"/>
          <w:caps w:val="false"/>
          <w:smallCaps w:val="false"/>
          <w:color w:val="596E80"/>
          <w:sz w:val="20"/>
        </w:rPr>
        <w: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524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pPr>
      <w:r>
        <w:rPr>
          <w:rFonts w:ascii="Times New Roman;Times;serif" w:hAnsi="Times New Roman;Times;serif"/>
          <w:b w:val="false"/>
          <w:i w:val="false"/>
          <w:caps w:val="false"/>
          <w:smallCaps w:val="false"/>
          <w:color w:val="596E80"/>
          <w:sz w:val="20"/>
        </w:rPr>
        <w:t xml:space="preserve">our Current Reports on Form 8-K, filed with the SEC on </w:t>
      </w:r>
      <w:hyperlink r:id="rId12">
        <w:r>
          <w:rPr>
            <w:rStyle w:val="InternetLink"/>
          </w:rPr>
          <w:t>November 3, 2025</w:t>
        </w:r>
      </w:hyperlink>
      <w:r>
        <w:rPr>
          <w:rFonts w:ascii="Times New Roman;Times;serif" w:hAnsi="Times New Roman;Times;serif"/>
          <w:b w:val="false"/>
          <w:i w:val="false"/>
          <w:caps w:val="false"/>
          <w:smallCaps w:val="false"/>
          <w:color w:val="596E80"/>
          <w:sz w:val="20"/>
        </w:rPr>
        <w:t xml:space="preserve">, </w:t>
      </w:r>
      <w:hyperlink r:id="rId13">
        <w:r>
          <w:rPr>
            <w:rStyle w:val="InternetLink"/>
          </w:rPr>
          <w:t>November 13, 2025</w:t>
        </w:r>
      </w:hyperlink>
      <w:r>
        <w:rPr>
          <w:rFonts w:ascii="Times New Roman;Times;serif" w:hAnsi="Times New Roman;Times;serif"/>
          <w:b w:val="false"/>
          <w:i w:val="false"/>
          <w:caps w:val="false"/>
          <w:smallCaps w:val="false"/>
          <w:color w:val="596E80"/>
          <w:sz w:val="20"/>
        </w:rPr>
        <w:t xml:space="preserve">, </w:t>
      </w:r>
      <w:hyperlink r:id="rId14">
        <w:r>
          <w:rPr>
            <w:rStyle w:val="InternetLink"/>
          </w:rPr>
          <w:t>January 2, 2026</w:t>
        </w:r>
      </w:hyperlink>
      <w:r>
        <w:rPr>
          <w:rFonts w:ascii="Times New Roman;Times;serif" w:hAnsi="Times New Roman;Times;serif"/>
          <w:b w:val="false"/>
          <w:i w:val="false"/>
          <w:caps w:val="false"/>
          <w:smallCaps w:val="false"/>
          <w:color w:val="596E80"/>
          <w:sz w:val="20"/>
        </w:rPr>
        <w:t xml:space="preserve">, </w:t>
      </w:r>
      <w:hyperlink r:id="rId15">
        <w:r>
          <w:rPr>
            <w:rStyle w:val="InternetLink"/>
          </w:rPr>
          <w:t>February 11, 2026</w:t>
        </w:r>
      </w:hyperlink>
      <w:r>
        <w:rPr>
          <w:rFonts w:ascii="Times New Roman;Times;serif" w:hAnsi="Times New Roman;Times;serif"/>
          <w:b w:val="false"/>
          <w:i w:val="false"/>
          <w:caps w:val="false"/>
          <w:smallCaps w:val="false"/>
          <w:color w:val="596E80"/>
          <w:sz w:val="20"/>
        </w:rPr>
        <w:t xml:space="preserve">, </w:t>
      </w:r>
      <w:hyperlink r:id="rId16">
        <w:r>
          <w:rPr>
            <w:rStyle w:val="InternetLink"/>
          </w:rPr>
          <w:t>February 18, 2026</w:t>
        </w:r>
      </w:hyperlink>
      <w:r>
        <w:rPr>
          <w:rFonts w:ascii="Times New Roman;Times;serif" w:hAnsi="Times New Roman;Times;serif"/>
          <w:b w:val="false"/>
          <w:i w:val="false"/>
          <w:caps w:val="false"/>
          <w:smallCaps w:val="false"/>
          <w:color w:val="596E80"/>
          <w:sz w:val="20"/>
        </w:rPr>
        <w:t xml:space="preserve">, </w:t>
      </w:r>
      <w:hyperlink r:id="rId17">
        <w:r>
          <w:rPr>
            <w:rStyle w:val="InternetLink"/>
          </w:rPr>
          <w:t>March 5, 2026</w:t>
        </w:r>
      </w:hyperlink>
      <w:r>
        <w:rPr>
          <w:rFonts w:ascii="Times New Roman;Times;serif" w:hAnsi="Times New Roman;Times;serif"/>
          <w:b w:val="false"/>
          <w:i w:val="false"/>
          <w:caps w:val="false"/>
          <w:smallCaps w:val="false"/>
          <w:color w:val="596E80"/>
          <w:sz w:val="20"/>
        </w:rPr>
        <w:t xml:space="preserve">, </w:t>
      </w:r>
      <w:hyperlink r:id="rId18">
        <w:r>
          <w:rPr>
            <w:rStyle w:val="InternetLink"/>
          </w:rPr>
          <w:t>March 10, 2026</w:t>
        </w:r>
      </w:hyperlink>
      <w:r>
        <w:rPr>
          <w:rFonts w:ascii="Times New Roman;Times;serif" w:hAnsi="Times New Roman;Times;serif"/>
          <w:b w:val="false"/>
          <w:i w:val="false"/>
          <w:caps w:val="false"/>
          <w:smallCaps w:val="false"/>
          <w:color w:val="596E80"/>
          <w:sz w:val="20"/>
        </w:rPr>
        <w:t xml:space="preserve">,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524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S-33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8480"/>
        <w:ind w:left="2033" w:right="0" w:hanging="0"/>
        <w:jc w:val="left"/>
        <w:rPr/>
      </w:pPr>
      <w:hyperlink r:id="rId19">
        <w:r>
          <w:rPr>
            <w:rStyle w:val="InternetLink"/>
          </w:rPr>
          <w:t>March 11, 2026</w:t>
        </w:r>
      </w:hyperlink>
      <w:r>
        <w:rPr>
          <w:rFonts w:ascii="Times New Roman;Times;serif" w:hAnsi="Times New Roman;Times;serif"/>
          <w:b w:val="false"/>
          <w:i w:val="false"/>
          <w:caps w:val="false"/>
          <w:smallCaps w:val="false"/>
          <w:color w:val="596E80"/>
          <w:sz w:val="20"/>
        </w:rPr>
        <w:t xml:space="preserve">, </w:t>
      </w:r>
      <w:hyperlink r:id="rId20">
        <w:r>
          <w:rPr>
            <w:rStyle w:val="InternetLink"/>
          </w:rPr>
          <w:t>March 16, 2026</w:t>
        </w:r>
      </w:hyperlink>
      <w:r>
        <w:rPr>
          <w:rFonts w:ascii="Times New Roman;Times;serif" w:hAnsi="Times New Roman;Times;serif"/>
          <w:b w:val="false"/>
          <w:i w:val="false"/>
          <w:caps w:val="false"/>
          <w:smallCaps w:val="false"/>
          <w:color w:val="596E80"/>
          <w:sz w:val="20"/>
        </w:rPr>
        <w:t xml:space="preserve">, </w:t>
      </w:r>
      <w:hyperlink r:id="rId21">
        <w:r>
          <w:rPr>
            <w:rStyle w:val="InternetLink"/>
          </w:rPr>
          <w:t>March 25, 2026</w:t>
        </w:r>
      </w:hyperlink>
      <w:r>
        <w:rPr>
          <w:rFonts w:ascii="Times New Roman;Times;serif" w:hAnsi="Times New Roman;Times;serif"/>
          <w:b w:val="false"/>
          <w:i w:val="false"/>
          <w:caps w:val="false"/>
          <w:smallCaps w:val="false"/>
          <w:color w:val="596E80"/>
          <w:sz w:val="20"/>
        </w:rPr>
        <w:t xml:space="preserve">, </w:t>
      </w:r>
      <w:hyperlink r:id="rId22">
        <w:r>
          <w:rPr>
            <w:rStyle w:val="InternetLink"/>
          </w:rPr>
          <w:t>April 7, 2026</w:t>
        </w:r>
      </w:hyperlink>
      <w:r>
        <w:rPr>
          <w:rFonts w:ascii="Times New Roman;Times;serif" w:hAnsi="Times New Roman;Times;serif"/>
          <w:b w:val="false"/>
          <w:i w:val="false"/>
          <w:caps w:val="false"/>
          <w:smallCaps w:val="false"/>
          <w:color w:val="596E80"/>
          <w:sz w:val="20"/>
        </w:rPr>
        <w:t xml:space="preserve">, </w:t>
      </w:r>
      <w:hyperlink r:id="rId23">
        <w:r>
          <w:rPr>
            <w:rStyle w:val="InternetLink"/>
          </w:rPr>
          <w:t>April 21, 2026</w:t>
        </w:r>
      </w:hyperlink>
      <w:r>
        <w:rPr>
          <w:rFonts w:ascii="Times New Roman;Times;serif" w:hAnsi="Times New Roman;Times;serif"/>
          <w:b w:val="false"/>
          <w:i w:val="false"/>
          <w:caps w:val="false"/>
          <w:smallCaps w:val="false"/>
          <w:color w:val="596E80"/>
          <w:sz w:val="20"/>
        </w:rPr>
        <w:t xml:space="preserve">, </w:t>
      </w:r>
      <w:hyperlink r:id="rId24">
        <w:r>
          <w:rPr>
            <w:rStyle w:val="InternetLink"/>
          </w:rPr>
          <w:t>April 23, 2026</w:t>
        </w:r>
      </w:hyperlink>
      <w:r>
        <w:rPr>
          <w:rFonts w:ascii="Times New Roman;Times;serif" w:hAnsi="Times New Roman;Times;serif"/>
          <w:b w:val="false"/>
          <w:i w:val="false"/>
          <w:caps w:val="false"/>
          <w:smallCaps w:val="false"/>
          <w:color w:val="596E80"/>
          <w:sz w:val="20"/>
        </w:rPr>
        <w:t xml:space="preserve">, </w:t>
      </w:r>
      <w:hyperlink r:id="rId25">
        <w:r>
          <w:rPr>
            <w:rStyle w:val="InternetLink"/>
          </w:rPr>
          <w:t>May 13, 2026</w:t>
        </w:r>
      </w:hyperlink>
      <w:r>
        <w:rPr>
          <w:rFonts w:ascii="Times New Roman;Times;serif" w:hAnsi="Times New Roman;Times;serif"/>
          <w:b w:val="false"/>
          <w:i w:val="false"/>
          <w:caps w:val="false"/>
          <w:smallCaps w:val="false"/>
          <w:color w:val="596E80"/>
          <w:sz w:val="20"/>
        </w:rPr>
        <w:t xml:space="preserve">, </w:t>
      </w:r>
      <w:hyperlink r:id="rId26">
        <w:r>
          <w:rPr>
            <w:rStyle w:val="InternetLink"/>
          </w:rPr>
          <w:t>May 26, 2026</w:t>
        </w:r>
      </w:hyperlink>
      <w:r>
        <w:rPr>
          <w:rFonts w:ascii="Times New Roman;Times;serif" w:hAnsi="Times New Roman;Times;serif"/>
          <w:b w:val="false"/>
          <w:i w:val="false"/>
          <w:caps w:val="false"/>
          <w:smallCaps w:val="false"/>
          <w:color w:val="596E80"/>
          <w:sz w:val="20"/>
        </w:rPr>
        <w:t xml:space="preserve">, </w:t>
      </w:r>
      <w:hyperlink r:id="rId27">
        <w:r>
          <w:rPr>
            <w:rStyle w:val="InternetLink"/>
          </w:rPr>
          <w:t>May 28, 2026</w:t>
        </w:r>
      </w:hyperlink>
      <w:r>
        <w:rPr>
          <w:rFonts w:ascii="Times New Roman;Times;serif" w:hAnsi="Times New Roman;Times;serif"/>
          <w:b w:val="false"/>
          <w:i w:val="false"/>
          <w:caps w:val="false"/>
          <w:smallCaps w:val="false"/>
          <w:color w:val="596E80"/>
          <w:sz w:val="20"/>
        </w:rPr>
        <w:t xml:space="preserve">, </w:t>
      </w:r>
      <w:hyperlink r:id="rId28">
        <w:r>
          <w:rPr>
            <w:rStyle w:val="InternetLink"/>
          </w:rPr>
          <w:t>May 29, 2026</w:t>
        </w:r>
      </w:hyperlink>
      <w:r>
        <w:rPr>
          <w:rFonts w:ascii="Times New Roman;Times;serif" w:hAnsi="Times New Roman;Times;serif"/>
          <w:b w:val="false"/>
          <w:i w:val="false"/>
          <w:caps w:val="false"/>
          <w:smallCaps w:val="false"/>
          <w:color w:val="596E80"/>
          <w:sz w:val="20"/>
        </w:rPr>
        <w:t xml:space="preserve">, </w:t>
      </w:r>
      <w:hyperlink r:id="rId29">
        <w:r>
          <w:rPr>
            <w:rStyle w:val="InternetLink"/>
          </w:rPr>
          <w:t>June 1, 2026</w:t>
        </w:r>
      </w:hyperlink>
      <w:r>
        <w:rPr>
          <w:rFonts w:ascii="Times New Roman;Times;serif" w:hAnsi="Times New Roman;Times;serif"/>
          <w:b w:val="false"/>
          <w:i w:val="false"/>
          <w:caps w:val="false"/>
          <w:smallCaps w:val="false"/>
          <w:color w:val="596E80"/>
          <w:sz w:val="20"/>
        </w:rPr>
        <w:t xml:space="preserve">, </w:t>
      </w:r>
      <w:hyperlink r:id="rId30">
        <w:r>
          <w:rPr>
            <w:rStyle w:val="InternetLink"/>
          </w:rPr>
          <w:t>June 16, 2026</w:t>
        </w:r>
      </w:hyperlink>
      <w:r>
        <w:rPr>
          <w:rFonts w:ascii="Times New Roman;Times;serif" w:hAnsi="Times New Roman;Times;serif"/>
          <w:b w:val="false"/>
          <w:i w:val="false"/>
          <w:caps w:val="false"/>
          <w:smallCaps w:val="false"/>
          <w:color w:val="596E80"/>
          <w:sz w:val="20"/>
        </w:rPr>
        <w:t xml:space="preserve">, </w:t>
      </w:r>
      <w:hyperlink r:id="rId31">
        <w:r>
          <w:rPr>
            <w:rStyle w:val="InternetLink"/>
          </w:rPr>
          <w:t>June 26, 2026</w:t>
        </w:r>
      </w:hyperlink>
      <w:r>
        <w:rPr>
          <w:rFonts w:ascii="Times New Roman;Times;serif" w:hAnsi="Times New Roman;Times;serif"/>
          <w:b w:val="false"/>
          <w:i w:val="false"/>
          <w:caps w:val="false"/>
          <w:smallCaps w:val="false"/>
          <w:color w:val="596E80"/>
          <w:sz w:val="20"/>
        </w:rPr>
        <w:t xml:space="preserve">, </w:t>
      </w:r>
      <w:hyperlink r:id="rId32">
        <w:r>
          <w:rPr>
            <w:rStyle w:val="InternetLink"/>
          </w:rPr>
          <w:t>July 16, 2026</w:t>
        </w:r>
      </w:hyperlink>
      <w:r>
        <w:rPr>
          <w:rFonts w:ascii="Times New Roman;Times;serif" w:hAnsi="Times New Roman;Times;serif"/>
          <w:b w:val="false"/>
          <w:i w:val="false"/>
          <w:caps w:val="false"/>
          <w:smallCaps w:val="false"/>
          <w:color w:val="596E80"/>
          <w:sz w:val="20"/>
        </w:rPr>
        <w:t xml:space="preserve">, </w:t>
      </w:r>
      <w:hyperlink r:id="rId33">
        <w:r>
          <w:rPr>
            <w:rStyle w:val="InternetLink"/>
          </w:rPr>
          <w:t>July 24, 2026</w:t>
        </w:r>
      </w:hyperlink>
      <w:r>
        <w:rPr>
          <w:rFonts w:ascii="Times New Roman;Times;serif" w:hAnsi="Times New Roman;Times;serif"/>
          <w:b w:val="false"/>
          <w:i w:val="false"/>
          <w:caps w:val="false"/>
          <w:smallCaps w:val="false"/>
          <w:color w:val="596E80"/>
          <w:sz w:val="20"/>
        </w:rPr>
        <w:t xml:space="preserve">, </w:t>
      </w:r>
      <w:hyperlink r:id="rId34">
        <w:r>
          <w:rPr>
            <w:rStyle w:val="InternetLink"/>
          </w:rPr>
          <w:t>July 24, 2026</w:t>
        </w:r>
      </w:hyperlink>
      <w:r>
        <w:rPr>
          <w:rFonts w:ascii="Times New Roman;Times;serif" w:hAnsi="Times New Roman;Times;serif"/>
          <w:b w:val="false"/>
          <w:i w:val="false"/>
          <w:caps w:val="false"/>
          <w:smallCaps w:val="false"/>
          <w:color w:val="596E80"/>
          <w:sz w:val="20"/>
        </w:rPr>
        <w:t xml:space="preserve"> and </w:t>
      </w:r>
      <w:hyperlink r:id="rId35">
        <w:r>
          <w:rPr>
            <w:rStyle w:val="InternetLink"/>
          </w:rPr>
          <w:t>August 12, 2026</w:t>
        </w:r>
      </w:hyperlink>
      <w:r>
        <w:rPr>
          <w:rFonts w:ascii="Times New Roman;Times;serif" w:hAnsi="Times New Roman;Times;serif"/>
          <w:b w:val="false"/>
          <w:i w:val="false"/>
          <w:caps w:val="false"/>
          <w:smallCaps w:val="false"/>
          <w:color w:val="596E80"/>
          <w:sz w:val="20"/>
        </w:rPr>
        <w:t xml:space="preserve"> to the extent the information in such reports is filed and not furnished; and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033" w:right="0" w:hanging="0"/>
        <w:jc w:val="left"/>
        <w:rPr/>
      </w:pPr>
      <w:r>
        <w:rPr>
          <w:rFonts w:ascii="Times New Roman;Times;serif" w:hAnsi="Times New Roman;Times;serif"/>
          <w:b w:val="false"/>
          <w:i w:val="false"/>
          <w:caps w:val="false"/>
          <w:smallCaps w:val="false"/>
          <w:color w:val="596E80"/>
          <w:sz w:val="20"/>
        </w:rPr>
        <w:t xml:space="preserve">the description of our common stock set forth in our registration statement on Form 8-A, filed with the SEC on </w:t>
      </w:r>
      <w:hyperlink r:id="rId36">
        <w:r>
          <w:rPr>
            <w:rStyle w:val="InternetLink"/>
          </w:rPr>
          <w:t>April 29, 2016</w:t>
        </w:r>
      </w:hyperlink>
      <w:r>
        <w:rPr>
          <w:rFonts w:ascii="Times New Roman;Times;serif" w:hAnsi="Times New Roman;Times;serif"/>
          <w:b w:val="false"/>
          <w:i w:val="false"/>
          <w:caps w:val="false"/>
          <w:smallCaps w:val="false"/>
          <w:color w:val="596E80"/>
          <w:sz w:val="20"/>
        </w:rPr>
        <w:t xml:space="preserve">, as amended on </w:t>
      </w:r>
      <w:hyperlink r:id="rId37">
        <w:r>
          <w:rPr>
            <w:rStyle w:val="InternetLink"/>
          </w:rPr>
          <w:t>May 11, 2016</w:t>
        </w:r>
      </w:hyperlink>
      <w:r>
        <w:rPr>
          <w:rFonts w:ascii="Times New Roman;Times;serif" w:hAnsi="Times New Roman;Times;serif"/>
          <w:b w:val="false"/>
          <w:i w:val="false"/>
          <w:caps w:val="false"/>
          <w:smallCaps w:val="false"/>
          <w:color w:val="596E80"/>
          <w:sz w:val="20"/>
        </w:rPr>
        <w:t xml:space="preserve">, including any further amendments thereto or reports filed for the purposes of updating this description, including </w:t>
      </w:r>
      <w:hyperlink r:id="rId38">
        <w:r>
          <w:rPr>
            <w:rStyle w:val="InternetLink"/>
          </w:rPr>
          <w:t>Exhibit 4.1 of our Annual Report on Form 10-K</w:t>
        </w:r>
      </w:hyperlink>
      <w:r>
        <w:rPr>
          <w:rFonts w:ascii="Times New Roman;Times;serif" w:hAnsi="Times New Roman;Times;serif"/>
          <w:b w:val="false"/>
          <w:i w:val="false"/>
          <w:caps w:val="false"/>
          <w:smallCaps w:val="false"/>
          <w:color w:val="596E80"/>
          <w:sz w:val="20"/>
        </w:rPr>
        <w: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524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 Outlook Therapeutics, Inc., Attention: Corporate Secretary, 111 S. Wood Avenue, Unit #100, Iselin, New Jersey 08830. Our phone number is (609) 619-3990. You may also view the documents that we file with the SEC and incorporate by reference in this prospectus on our corporate website at www.outlooktherapeutics.com. The information on our website is not incorporated by reference and is not a part of this prospectus.</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S-34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PROSPECTUS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360" w:before="120" w:after="283"/>
        <w:jc w:val="center"/>
        <w:rPr>
          <w:rFonts w:ascii="Times New Roman;Times;serif" w:hAnsi="Times New Roman;Times;serif"/>
          <w:b/>
          <w:i w:val="false"/>
          <w:caps w:val="false"/>
          <w:smallCaps w:val="false"/>
          <w:color w:val="596E80"/>
          <w:sz w:val="32"/>
        </w:rPr>
      </w:pPr>
      <w:r>
        <w:rPr>
          <w:rFonts w:ascii="Times New Roman;Times;serif" w:hAnsi="Times New Roman;Times;serif"/>
          <w:b/>
          <w:i w:val="false"/>
          <w:caps/>
          <w:color w:val="596E80"/>
          <w:sz w:val="32"/>
        </w:rPr>
        <w:t>$300,000,000</w:t>
      </w:r>
      <w:r>
        <w:rPr>
          <w:rFonts w:ascii="Times New Roman;Times;serif" w:hAnsi="Times New Roman;Times;serif"/>
          <w:b/>
          <w:i w:val="false"/>
          <w:caps w:val="false"/>
          <w:smallCaps w:val="false"/>
          <w:color w:val="596E80"/>
          <w:spacing w:val="6"/>
          <w:sz w:val="32"/>
        </w:rPr>
        <w:t xml:space="preserve"> </w:t>
      </w:r>
    </w:p>
    <w:p>
      <w:pPr>
        <w:pStyle w:val="TextBody"/>
        <w:bidi w:val="0"/>
        <w:spacing w:before="160" w:after="283"/>
        <w:jc w:val="center"/>
        <w:rPr>
          <w:caps w:val="false"/>
          <w:smallCaps w:val="false"/>
          <w:color w:val="596E80"/>
        </w:rPr>
      </w:pPr>
      <w:r>
        <w:rPr>
          <w:caps w:val="false"/>
          <w:smallCaps w:val="false"/>
          <w:color w:val="596E80"/>
        </w:rPr>
        <w:drawing>
          <wp:inline distT="0" distB="0" distL="0" distR="0">
            <wp:extent cx="3429000" cy="942975"/>
            <wp:effectExtent l="0" t="0" r="0" b="0"/>
            <wp:docPr id="1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 descr=""/>
                    <pic:cNvPicPr>
                      <a:picLocks noChangeAspect="1" noChangeArrowheads="1"/>
                    </pic:cNvPicPr>
                  </pic:nvPicPr>
                  <pic:blipFill>
                    <a:blip r:embed="rId39"/>
                    <a:stretch>
                      <a:fillRect/>
                    </a:stretch>
                  </pic:blipFill>
                  <pic:spPr bwMode="auto">
                    <a:xfrm>
                      <a:off x="0" y="0"/>
                      <a:ext cx="3429000" cy="942975"/>
                    </a:xfrm>
                    <a:prstGeom prst="rect">
                      <a:avLst/>
                    </a:prstGeom>
                  </pic:spPr>
                </pic:pic>
              </a:graphicData>
            </a:graphic>
          </wp:inline>
        </w:drawing>
      </w:r>
      <w:r>
        <w:rPr>
          <w:caps w:val="false"/>
          <w:smallCaps w:val="false"/>
          <w:color w:val="596E80"/>
        </w:rPr>
        <w:t xml:space="preserve"> </w:t>
      </w:r>
    </w:p>
    <w:p>
      <w:pPr>
        <w:pStyle w:val="TextBody"/>
        <w:bidi w:val="0"/>
        <w:spacing w:lineRule="atLeast" w:line="360" w:before="220" w:after="283"/>
        <w:jc w:val="center"/>
        <w:rPr>
          <w:rFonts w:ascii="Times New Roman;Times;serif" w:hAnsi="Times New Roman;Times;serif"/>
          <w:b/>
          <w:i w:val="false"/>
          <w:caps w:val="false"/>
          <w:smallCaps w:val="false"/>
          <w:color w:val="596E80"/>
          <w:sz w:val="32"/>
        </w:rPr>
      </w:pPr>
      <w:r>
        <w:rPr>
          <w:rFonts w:ascii="Times New Roman;Times;serif" w:hAnsi="Times New Roman;Times;serif"/>
          <w:b/>
          <w:i w:val="false"/>
          <w:caps/>
          <w:color w:val="596E80"/>
          <w:sz w:val="32"/>
        </w:rPr>
        <w:t>C</w:t>
      </w:r>
      <w:r>
        <w:rPr>
          <w:rFonts w:ascii="Times New Roman;Times;serif" w:hAnsi="Times New Roman;Times;serif"/>
          <w:b/>
          <w:i w:val="false"/>
          <w:caps w:val="false"/>
          <w:smallCaps w:val="false"/>
          <w:color w:val="596E80"/>
          <w:sz w:val="32"/>
        </w:rPr>
        <w:t>ommon</w:t>
      </w:r>
      <w:r>
        <w:rPr>
          <w:rFonts w:ascii="Times New Roman;Times;serif" w:hAnsi="Times New Roman;Times;serif"/>
          <w:b/>
          <w:i w:val="false"/>
          <w:caps/>
          <w:color w:val="596E80"/>
          <w:sz w:val="32"/>
        </w:rPr>
        <w:t xml:space="preserve"> S</w:t>
      </w:r>
      <w:r>
        <w:rPr>
          <w:rFonts w:ascii="Times New Roman;Times;serif" w:hAnsi="Times New Roman;Times;serif"/>
          <w:b/>
          <w:i w:val="false"/>
          <w:caps w:val="false"/>
          <w:smallCaps w:val="false"/>
          <w:color w:val="596E80"/>
          <w:sz w:val="32"/>
        </w:rPr>
        <w:t>tock</w:t>
      </w:r>
      <w:r>
        <w:rPr>
          <w:rFonts w:ascii="Times New Roman;Times;serif" w:hAnsi="Times New Roman;Times;serif"/>
          <w:b/>
          <w:i w:val="false"/>
          <w:caps/>
          <w:color w:val="596E80"/>
          <w:sz w:val="32"/>
        </w:rPr>
        <w:t xml:space="preserve"> </w:t>
      </w:r>
      <w:r>
        <w:rPr>
          <w:rFonts w:ascii="Times New Roman;Times;serif" w:hAnsi="Times New Roman;Times;serif"/>
          <w:b/>
          <w:i w:val="false"/>
          <w:caps w:val="false"/>
          <w:smallCaps w:val="false"/>
          <w:color w:val="596E80"/>
          <w:sz w:val="32"/>
        </w:rPr>
        <w:br/>
      </w:r>
      <w:r>
        <w:rPr>
          <w:rFonts w:ascii="Times New Roman;Times;serif" w:hAnsi="Times New Roman;Times;serif"/>
          <w:b/>
          <w:i w:val="false"/>
          <w:caps/>
          <w:color w:val="596E80"/>
          <w:sz w:val="32"/>
        </w:rPr>
        <w:t>P</w:t>
      </w:r>
      <w:r>
        <w:rPr>
          <w:rFonts w:ascii="Times New Roman;Times;serif" w:hAnsi="Times New Roman;Times;serif"/>
          <w:b/>
          <w:i w:val="false"/>
          <w:caps w:val="false"/>
          <w:smallCaps w:val="false"/>
          <w:color w:val="596E80"/>
          <w:sz w:val="32"/>
        </w:rPr>
        <w:t>referred</w:t>
      </w:r>
      <w:r>
        <w:rPr>
          <w:rFonts w:ascii="Times New Roman;Times;serif" w:hAnsi="Times New Roman;Times;serif"/>
          <w:b/>
          <w:i w:val="false"/>
          <w:caps/>
          <w:color w:val="596E80"/>
          <w:sz w:val="32"/>
        </w:rPr>
        <w:t xml:space="preserve"> S</w:t>
      </w:r>
      <w:r>
        <w:rPr>
          <w:rFonts w:ascii="Times New Roman;Times;serif" w:hAnsi="Times New Roman;Times;serif"/>
          <w:b/>
          <w:i w:val="false"/>
          <w:caps w:val="false"/>
          <w:smallCaps w:val="false"/>
          <w:color w:val="596E80"/>
          <w:sz w:val="32"/>
        </w:rPr>
        <w:t>tock</w:t>
      </w:r>
      <w:r>
        <w:rPr>
          <w:rFonts w:ascii="Times New Roman;Times;serif" w:hAnsi="Times New Roman;Times;serif"/>
          <w:b/>
          <w:i w:val="false"/>
          <w:caps/>
          <w:color w:val="596E80"/>
          <w:sz w:val="32"/>
        </w:rPr>
        <w:t xml:space="preserve"> </w:t>
      </w:r>
      <w:r>
        <w:rPr>
          <w:rFonts w:ascii="Times New Roman;Times;serif" w:hAnsi="Times New Roman;Times;serif"/>
          <w:b/>
          <w:i w:val="false"/>
          <w:caps w:val="false"/>
          <w:smallCaps w:val="false"/>
          <w:color w:val="596E80"/>
          <w:sz w:val="32"/>
        </w:rPr>
        <w:br/>
      </w:r>
      <w:r>
        <w:rPr>
          <w:rFonts w:ascii="Times New Roman;Times;serif" w:hAnsi="Times New Roman;Times;serif"/>
          <w:b/>
          <w:i w:val="false"/>
          <w:caps/>
          <w:color w:val="596E80"/>
          <w:sz w:val="32"/>
        </w:rPr>
        <w:t>D</w:t>
      </w:r>
      <w:r>
        <w:rPr>
          <w:rFonts w:ascii="Times New Roman;Times;serif" w:hAnsi="Times New Roman;Times;serif"/>
          <w:b/>
          <w:i w:val="false"/>
          <w:caps w:val="false"/>
          <w:smallCaps w:val="false"/>
          <w:color w:val="596E80"/>
          <w:sz w:val="32"/>
        </w:rPr>
        <w:t>ebt</w:t>
      </w:r>
      <w:r>
        <w:rPr>
          <w:rFonts w:ascii="Times New Roman;Times;serif" w:hAnsi="Times New Roman;Times;serif"/>
          <w:b/>
          <w:i w:val="false"/>
          <w:caps/>
          <w:color w:val="596E80"/>
          <w:sz w:val="32"/>
        </w:rPr>
        <w:t xml:space="preserve"> S</w:t>
      </w:r>
      <w:r>
        <w:rPr>
          <w:rFonts w:ascii="Times New Roman;Times;serif" w:hAnsi="Times New Roman;Times;serif"/>
          <w:b/>
          <w:i w:val="false"/>
          <w:caps w:val="false"/>
          <w:smallCaps w:val="false"/>
          <w:color w:val="596E80"/>
          <w:sz w:val="32"/>
        </w:rPr>
        <w:t>ecurities</w:t>
      </w:r>
      <w:r>
        <w:rPr>
          <w:rFonts w:ascii="Times New Roman;Times;serif" w:hAnsi="Times New Roman;Times;serif"/>
          <w:b/>
          <w:i w:val="false"/>
          <w:caps/>
          <w:color w:val="596E80"/>
          <w:sz w:val="32"/>
        </w:rPr>
        <w:t xml:space="preserve"> </w:t>
      </w:r>
      <w:r>
        <w:rPr>
          <w:rFonts w:ascii="Times New Roman;Times;serif" w:hAnsi="Times New Roman;Times;serif"/>
          <w:b/>
          <w:i w:val="false"/>
          <w:caps w:val="false"/>
          <w:smallCaps w:val="false"/>
          <w:color w:val="596E80"/>
          <w:sz w:val="32"/>
        </w:rPr>
        <w:br/>
      </w:r>
      <w:r>
        <w:rPr>
          <w:rFonts w:ascii="Times New Roman;Times;serif" w:hAnsi="Times New Roman;Times;serif"/>
          <w:b/>
          <w:i w:val="false"/>
          <w:caps/>
          <w:color w:val="596E80"/>
          <w:sz w:val="32"/>
        </w:rPr>
        <w:t>W</w:t>
      </w:r>
      <w:r>
        <w:rPr>
          <w:rFonts w:ascii="Times New Roman;Times;serif" w:hAnsi="Times New Roman;Times;serif"/>
          <w:b/>
          <w:i w:val="false"/>
          <w:caps w:val="false"/>
          <w:smallCaps w:val="false"/>
          <w:color w:val="596E80"/>
          <w:sz w:val="32"/>
        </w:rPr>
        <w:t>arrants</w:t>
      </w:r>
      <w:r>
        <w:rPr>
          <w:rFonts w:ascii="Times New Roman;Times;serif" w:hAnsi="Times New Roman;Times;serif"/>
          <w:b/>
          <w:i w:val="false"/>
          <w:caps w:val="false"/>
          <w:smallCaps w:val="false"/>
          <w:color w:val="596E80"/>
          <w:spacing w:val="6"/>
          <w:sz w:val="32"/>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From time to time, we may offer up to $300,000,000 of any combination of shares of our common stock, shares of our preferred stock, debt securities and warrants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This prospectus may not be used to consummate a sale of securities unless accompanied by a prospectus supplement.</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discounts or commissions and over-allotment options will be set forth in a prospectus supplement. The price to the public of such securities and the net proceeds we expect to receive from such sale will also be set forth in a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common stock is listed on The Nasdaq Capital Market under the trading symbol “OTLK.” On March 27, 2024, the last reported sale price of our common stock on The Nasdaq Capital Market was $9.37 per share. The applicable prospectus supplement will contain information, where applicable, as to other listings, if any, on The Nasdaq Capital Market or other securities exchange of the securities covered by the applicable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pPr>
      <w:r>
        <w:rPr>
          <w:rFonts w:ascii="Times New Roman;Times;serif" w:hAnsi="Times New Roman;Times;serif"/>
          <w:b/>
          <w:i w:val="false"/>
          <w:caps w:val="false"/>
          <w:smallCaps w:val="false"/>
          <w:color w:val="596E80"/>
          <w:sz w:val="20"/>
        </w:rPr>
        <w:t xml:space="preserve">Investing in our securities involves a high degree of risk. You should review carefully the risks and uncertainties described under the heading “Risk Factors” on page </w:t>
      </w:r>
      <w:hyperlink w:anchor="tRIFA">
        <w:r>
          <w:rPr>
            <w:rStyle w:val="InternetLink"/>
          </w:rPr>
          <w:t>7</w:t>
        </w:r>
      </w:hyperlink>
      <w:r>
        <w:rPr>
          <w:rFonts w:ascii="Times New Roman;Times;serif" w:hAnsi="Times New Roman;Times;serif"/>
          <w:b/>
          <w:i w:val="false"/>
          <w:caps w:val="false"/>
          <w:smallCaps w:val="false"/>
          <w:color w:val="596E80"/>
          <w:sz w:val="20"/>
        </w:rPr>
        <w:t xml:space="preserve"> of this prospectus and any similar section contained in the applicable prospectus supplement and in any related free writing prospectuses we have authorized for use in connection with a specific offering, and under similar headings in the documents that are incorporated by reference into this prospectus.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720" w:after="283"/>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The date of this prospectus is April 5, 2024.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7230"/>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TABLE OF CONTENTS</w:t>
      </w:r>
      <w:r>
        <w:rPr>
          <w:rFonts w:ascii="Times New Roman;Times;serif" w:hAnsi="Times New Roman;Times;serif"/>
          <w:b/>
          <w:i w:val="false"/>
          <w:caps w:val="false"/>
          <w:smallCaps w:val="false"/>
          <w:color w:val="596E80"/>
          <w:spacing w:val="4"/>
          <w:sz w:val="20"/>
        </w:rPr>
        <w:t xml:space="preserve"> </w:t>
      </w:r>
    </w:p>
    <w:tbl>
      <w:tblPr>
        <w:tblW w:w="6386" w:type="dxa"/>
        <w:jc w:val="left"/>
        <w:tblInd w:w="1393" w:type="dxa"/>
        <w:tblLayout w:type="fixed"/>
        <w:tblCellMar>
          <w:top w:w="0" w:type="dxa"/>
          <w:left w:w="0" w:type="dxa"/>
          <w:bottom w:w="28" w:type="dxa"/>
          <w:right w:w="0" w:type="dxa"/>
        </w:tblCellMar>
      </w:tblPr>
      <w:tblGrid>
        <w:gridCol w:w="5281"/>
        <w:gridCol w:w="109"/>
        <w:gridCol w:w="109"/>
        <w:gridCol w:w="109"/>
        <w:gridCol w:w="109"/>
        <w:gridCol w:w="406"/>
        <w:gridCol w:w="109"/>
        <w:gridCol w:w="154"/>
      </w:tblGrid>
      <w:tr>
        <w:trPr/>
        <w:tc>
          <w:tcPr>
            <w:tcW w:w="52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3" w:type="dxa"/>
            <w:gridSpan w:val="4"/>
            <w:tcBorders>
              <w:bottom w:val="single" w:sz="2" w:space="0" w:color="596E80"/>
            </w:tcBorders>
            <w:tcMar>
              <w:bottom w:w="30" w:type="dxa"/>
            </w:tcMar>
            <w:vAlign w:val="center"/>
          </w:tcPr>
          <w:p>
            <w:pPr>
              <w:pStyle w:val="TableContents"/>
              <w:bidi w:val="0"/>
              <w:spacing w:before="0" w:after="0"/>
              <w:jc w:val="center"/>
              <w:rPr/>
            </w:pPr>
            <w:r>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tATP">
              <w:r>
                <w:rPr>
                  <w:rStyle w:val="InternetLink"/>
                  <w:color w:val="596E80"/>
                </w:rPr>
                <w:t>A</w:t>
              </w:r>
            </w:hyperlink>
            <w:hyperlink w:anchor="tATP">
              <w:r>
                <w:rPr>
                  <w:rStyle w:val="InternetLink"/>
                  <w:caps w:val="false"/>
                  <w:smallCaps w:val="false"/>
                  <w:color w:val="596E80"/>
                </w:rPr>
                <w:t>BOUT</w:t>
              </w:r>
            </w:hyperlink>
            <w:hyperlink w:anchor="tATP">
              <w:r>
                <w:rPr>
                  <w:rStyle w:val="InternetLink"/>
                  <w:color w:val="596E80"/>
                </w:rPr>
                <w:t xml:space="preserve"> T</w:t>
              </w:r>
            </w:hyperlink>
            <w:hyperlink w:anchor="tATP">
              <w:r>
                <w:rPr>
                  <w:rStyle w:val="InternetLink"/>
                  <w:caps w:val="false"/>
                  <w:smallCaps w:val="false"/>
                  <w:color w:val="596E80"/>
                </w:rPr>
                <w:t>HIS</w:t>
              </w:r>
            </w:hyperlink>
            <w:hyperlink w:anchor="tATP">
              <w:r>
                <w:rPr>
                  <w:rStyle w:val="InternetLink"/>
                  <w:color w:val="596E80"/>
                </w:rPr>
                <w:t xml:space="preserve"> P</w:t>
              </w:r>
            </w:hyperlink>
            <w:hyperlink w:anchor="tATP">
              <w:r>
                <w:rPr>
                  <w:rStyle w:val="InternetLink"/>
                  <w:caps w:val="false"/>
                  <w:smallCaps w:val="false"/>
                  <w:color w:val="596E80"/>
                </w:rPr>
                <w:t>ROSPECTUS</w:t>
              </w:r>
            </w:hyperlink>
            <w:hyperlink w:anchor="tATP">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hyperlink w:anchor="tATP">
              <w:r>
                <w:rPr>
                  <w:rStyle w:val="InternetLink"/>
                  <w:color w:val="596E80"/>
                </w:rPr>
                <w:t xml:space="preserve">ii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0"/>
              <w:jc w:val="left"/>
              <w:rPr/>
            </w:pPr>
            <w:hyperlink w:anchor="tPRSU">
              <w:r>
                <w:rPr>
                  <w:rStyle w:val="InternetLink"/>
                  <w:color w:val="596E80"/>
                </w:rPr>
                <w:t>P</w:t>
              </w:r>
            </w:hyperlink>
            <w:hyperlink w:anchor="tPRSU">
              <w:r>
                <w:rPr>
                  <w:rStyle w:val="InternetLink"/>
                  <w:caps w:val="false"/>
                  <w:smallCaps w:val="false"/>
                  <w:color w:val="596E80"/>
                </w:rPr>
                <w:t>ROSPECTUS</w:t>
              </w:r>
            </w:hyperlink>
            <w:hyperlink w:anchor="tPRSU">
              <w:r>
                <w:rPr>
                  <w:rStyle w:val="InternetLink"/>
                  <w:color w:val="596E80"/>
                </w:rPr>
                <w:t xml:space="preserve"> S</w:t>
              </w:r>
            </w:hyperlink>
            <w:hyperlink w:anchor="tPRSU">
              <w:r>
                <w:rPr>
                  <w:rStyle w:val="InternetLink"/>
                  <w:caps w:val="false"/>
                  <w:smallCaps w:val="false"/>
                  <w:color w:val="596E80"/>
                </w:rPr>
                <w:t>UMMARY</w:t>
              </w:r>
            </w:hyperlink>
            <w:hyperlink w:anchor="tPRSU">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PRSU">
              <w:r>
                <w:rPr>
                  <w:rStyle w:val="InternetLink"/>
                  <w:color w:val="596E80"/>
                </w:rPr>
                <w:t xml:space="preserve">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tTSWM">
              <w:r>
                <w:rPr>
                  <w:rStyle w:val="InternetLink"/>
                  <w:color w:val="596E80"/>
                </w:rPr>
                <w:t>T</w:t>
              </w:r>
            </w:hyperlink>
            <w:hyperlink w:anchor="tTSWM">
              <w:r>
                <w:rPr>
                  <w:rStyle w:val="InternetLink"/>
                  <w:caps w:val="false"/>
                  <w:smallCaps w:val="false"/>
                  <w:color w:val="596E80"/>
                </w:rPr>
                <w:t>HE</w:t>
              </w:r>
            </w:hyperlink>
            <w:hyperlink w:anchor="tTSWM">
              <w:r>
                <w:rPr>
                  <w:rStyle w:val="InternetLink"/>
                  <w:color w:val="596E80"/>
                </w:rPr>
                <w:t xml:space="preserve"> S</w:t>
              </w:r>
            </w:hyperlink>
            <w:hyperlink w:anchor="tTSWM">
              <w:r>
                <w:rPr>
                  <w:rStyle w:val="InternetLink"/>
                  <w:caps w:val="false"/>
                  <w:smallCaps w:val="false"/>
                  <w:color w:val="596E80"/>
                </w:rPr>
                <w:t>ECURITIES</w:t>
              </w:r>
            </w:hyperlink>
            <w:hyperlink w:anchor="tTSWM">
              <w:r>
                <w:rPr>
                  <w:rStyle w:val="InternetLink"/>
                  <w:color w:val="596E80"/>
                </w:rPr>
                <w:t xml:space="preserve"> W</w:t>
              </w:r>
            </w:hyperlink>
            <w:hyperlink w:anchor="tTSWM">
              <w:r>
                <w:rPr>
                  <w:rStyle w:val="InternetLink"/>
                  <w:caps w:val="false"/>
                  <w:smallCaps w:val="false"/>
                  <w:color w:val="596E80"/>
                </w:rPr>
                <w:t>E</w:t>
              </w:r>
            </w:hyperlink>
            <w:hyperlink w:anchor="tTSWM">
              <w:r>
                <w:rPr>
                  <w:rStyle w:val="InternetLink"/>
                  <w:color w:val="596E80"/>
                </w:rPr>
                <w:t xml:space="preserve"> M</w:t>
              </w:r>
            </w:hyperlink>
            <w:hyperlink w:anchor="tTSWM">
              <w:r>
                <w:rPr>
                  <w:rStyle w:val="InternetLink"/>
                  <w:caps w:val="false"/>
                  <w:smallCaps w:val="false"/>
                  <w:color w:val="596E80"/>
                </w:rPr>
                <w:t>AY</w:t>
              </w:r>
            </w:hyperlink>
            <w:hyperlink w:anchor="tTSWM">
              <w:r>
                <w:rPr>
                  <w:rStyle w:val="InternetLink"/>
                  <w:color w:val="596E80"/>
                </w:rPr>
                <w:t xml:space="preserve"> O</w:t>
              </w:r>
            </w:hyperlink>
            <w:hyperlink w:anchor="tTSWM">
              <w:r>
                <w:rPr>
                  <w:rStyle w:val="InternetLink"/>
                  <w:caps w:val="false"/>
                  <w:smallCaps w:val="false"/>
                  <w:color w:val="596E80"/>
                </w:rPr>
                <w:t>FFER</w:t>
              </w:r>
            </w:hyperlink>
            <w:hyperlink w:anchor="tTSWM">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hyperlink w:anchor="tTSWM">
              <w:r>
                <w:rPr>
                  <w:rStyle w:val="InternetLink"/>
                  <w:color w:val="596E80"/>
                </w:rPr>
                <w:t xml:space="preserve">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0"/>
              <w:jc w:val="left"/>
              <w:rPr/>
            </w:pPr>
            <w:hyperlink w:anchor="tRIFA">
              <w:r>
                <w:rPr>
                  <w:rStyle w:val="InternetLink"/>
                  <w:color w:val="596E80"/>
                </w:rPr>
                <w:t>R</w:t>
              </w:r>
            </w:hyperlink>
            <w:hyperlink w:anchor="tRIFA">
              <w:r>
                <w:rPr>
                  <w:rStyle w:val="InternetLink"/>
                  <w:caps w:val="false"/>
                  <w:smallCaps w:val="false"/>
                  <w:color w:val="596E80"/>
                </w:rPr>
                <w:t>ISK</w:t>
              </w:r>
            </w:hyperlink>
            <w:hyperlink w:anchor="tRIFA">
              <w:r>
                <w:rPr>
                  <w:rStyle w:val="InternetLink"/>
                  <w:color w:val="596E80"/>
                </w:rPr>
                <w:t xml:space="preserve"> F</w:t>
              </w:r>
            </w:hyperlink>
            <w:hyperlink w:anchor="tRIFA">
              <w:r>
                <w:rPr>
                  <w:rStyle w:val="InternetLink"/>
                  <w:caps w:val="false"/>
                  <w:smallCaps w:val="false"/>
                  <w:color w:val="596E80"/>
                </w:rPr>
                <w:t>ACTORS</w:t>
              </w:r>
            </w:hyperlink>
            <w:hyperlink w:anchor="tRIFA">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RIFA">
              <w:r>
                <w:rPr>
                  <w:rStyle w:val="InternetLink"/>
                  <w:color w:val="596E80"/>
                </w:rPr>
                <w:t xml:space="preserve">7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tSNRF">
              <w:r>
                <w:rPr>
                  <w:rStyle w:val="InternetLink"/>
                  <w:color w:val="596E80"/>
                </w:rPr>
                <w:t>S</w:t>
              </w:r>
            </w:hyperlink>
            <w:hyperlink w:anchor="tSNRF">
              <w:r>
                <w:rPr>
                  <w:rStyle w:val="InternetLink"/>
                  <w:caps w:val="false"/>
                  <w:smallCaps w:val="false"/>
                  <w:color w:val="596E80"/>
                </w:rPr>
                <w:t>PECIAL</w:t>
              </w:r>
            </w:hyperlink>
            <w:hyperlink w:anchor="tSNRF">
              <w:r>
                <w:rPr>
                  <w:rStyle w:val="InternetLink"/>
                  <w:color w:val="596E80"/>
                </w:rPr>
                <w:t xml:space="preserve"> N</w:t>
              </w:r>
            </w:hyperlink>
            <w:hyperlink w:anchor="tSNRF">
              <w:r>
                <w:rPr>
                  <w:rStyle w:val="InternetLink"/>
                  <w:caps w:val="false"/>
                  <w:smallCaps w:val="false"/>
                  <w:color w:val="596E80"/>
                </w:rPr>
                <w:t>OTE</w:t>
              </w:r>
            </w:hyperlink>
            <w:hyperlink w:anchor="tSNRF">
              <w:r>
                <w:rPr>
                  <w:rStyle w:val="InternetLink"/>
                  <w:color w:val="596E80"/>
                </w:rPr>
                <w:t xml:space="preserve"> R</w:t>
              </w:r>
            </w:hyperlink>
            <w:hyperlink w:anchor="tSNRF">
              <w:r>
                <w:rPr>
                  <w:rStyle w:val="InternetLink"/>
                  <w:caps w:val="false"/>
                  <w:smallCaps w:val="false"/>
                  <w:color w:val="596E80"/>
                </w:rPr>
                <w:t>EGARDING</w:t>
              </w:r>
            </w:hyperlink>
            <w:hyperlink w:anchor="tSNRF">
              <w:r>
                <w:rPr>
                  <w:rStyle w:val="InternetLink"/>
                  <w:color w:val="596E80"/>
                </w:rPr>
                <w:t xml:space="preserve"> F</w:t>
              </w:r>
            </w:hyperlink>
            <w:hyperlink w:anchor="tSNRF">
              <w:r>
                <w:rPr>
                  <w:rStyle w:val="InternetLink"/>
                  <w:caps w:val="false"/>
                  <w:smallCaps w:val="false"/>
                  <w:color w:val="596E80"/>
                </w:rPr>
                <w:t>ORWARD</w:t>
              </w:r>
            </w:hyperlink>
            <w:hyperlink w:anchor="tSNRF">
              <w:r>
                <w:rPr>
                  <w:rStyle w:val="InternetLink"/>
                  <w:color w:val="596E80"/>
                </w:rPr>
                <w:t>-L</w:t>
              </w:r>
            </w:hyperlink>
            <w:hyperlink w:anchor="tSNRF">
              <w:r>
                <w:rPr>
                  <w:rStyle w:val="InternetLink"/>
                  <w:caps w:val="false"/>
                  <w:smallCaps w:val="false"/>
                  <w:color w:val="596E80"/>
                </w:rPr>
                <w:t>OOKING</w:t>
              </w:r>
            </w:hyperlink>
            <w:hyperlink w:anchor="tSNRF">
              <w:r>
                <w:rPr>
                  <w:rStyle w:val="InternetLink"/>
                  <w:color w:val="596E80"/>
                </w:rPr>
                <w:t xml:space="preserve"> S</w:t>
              </w:r>
            </w:hyperlink>
            <w:hyperlink w:anchor="tSNRF">
              <w:r>
                <w:rPr>
                  <w:rStyle w:val="InternetLink"/>
                  <w:caps w:val="false"/>
                  <w:smallCaps w:val="false"/>
                  <w:color w:val="596E80"/>
                </w:rPr>
                <w:t>TATEMENTS</w:t>
              </w:r>
            </w:hyperlink>
            <w:hyperlink w:anchor="tSNRF">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hyperlink w:anchor="tSNRF">
              <w:r>
                <w:rPr>
                  <w:rStyle w:val="InternetLink"/>
                  <w:color w:val="596E80"/>
                </w:rPr>
                <w:t xml:space="preserve">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0"/>
              <w:jc w:val="left"/>
              <w:rPr/>
            </w:pPr>
            <w:hyperlink w:anchor="tUOP">
              <w:r>
                <w:rPr>
                  <w:rStyle w:val="InternetLink"/>
                  <w:color w:val="596E80"/>
                </w:rPr>
                <w:t>U</w:t>
              </w:r>
            </w:hyperlink>
            <w:hyperlink w:anchor="tUOP">
              <w:r>
                <w:rPr>
                  <w:rStyle w:val="InternetLink"/>
                  <w:caps w:val="false"/>
                  <w:smallCaps w:val="false"/>
                  <w:color w:val="596E80"/>
                </w:rPr>
                <w:t>SE OF</w:t>
              </w:r>
            </w:hyperlink>
            <w:hyperlink w:anchor="tUOP">
              <w:r>
                <w:rPr>
                  <w:rStyle w:val="InternetLink"/>
                  <w:color w:val="596E80"/>
                </w:rPr>
                <w:t xml:space="preserve"> P</w:t>
              </w:r>
            </w:hyperlink>
            <w:hyperlink w:anchor="tUOP">
              <w:r>
                <w:rPr>
                  <w:rStyle w:val="InternetLink"/>
                  <w:caps w:val="false"/>
                  <w:smallCaps w:val="false"/>
                  <w:color w:val="596E80"/>
                </w:rPr>
                <w:t>ROCEEDS</w:t>
              </w:r>
            </w:hyperlink>
            <w:hyperlink w:anchor="tUOP">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UOP">
              <w:r>
                <w:rPr>
                  <w:rStyle w:val="InternetLink"/>
                  <w:color w:val="596E80"/>
                </w:rPr>
                <w:t xml:space="preserve">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tDOCS">
              <w:r>
                <w:rPr>
                  <w:rStyle w:val="InternetLink"/>
                  <w:color w:val="596E80"/>
                </w:rPr>
                <w:t>D</w:t>
              </w:r>
            </w:hyperlink>
            <w:hyperlink w:anchor="tDOCS">
              <w:r>
                <w:rPr>
                  <w:rStyle w:val="InternetLink"/>
                  <w:caps w:val="false"/>
                  <w:smallCaps w:val="false"/>
                  <w:color w:val="596E80"/>
                </w:rPr>
                <w:t>ESCRIPTION OF</w:t>
              </w:r>
            </w:hyperlink>
            <w:hyperlink w:anchor="tDOCS">
              <w:r>
                <w:rPr>
                  <w:rStyle w:val="InternetLink"/>
                  <w:color w:val="596E80"/>
                </w:rPr>
                <w:t xml:space="preserve"> C</w:t>
              </w:r>
            </w:hyperlink>
            <w:hyperlink w:anchor="tDOCS">
              <w:r>
                <w:rPr>
                  <w:rStyle w:val="InternetLink"/>
                  <w:caps w:val="false"/>
                  <w:smallCaps w:val="false"/>
                  <w:color w:val="596E80"/>
                </w:rPr>
                <w:t>APITAL</w:t>
              </w:r>
            </w:hyperlink>
            <w:hyperlink w:anchor="tDOCS">
              <w:r>
                <w:rPr>
                  <w:rStyle w:val="InternetLink"/>
                  <w:color w:val="596E80"/>
                </w:rPr>
                <w:t xml:space="preserve"> S</w:t>
              </w:r>
            </w:hyperlink>
            <w:hyperlink w:anchor="tDOCS">
              <w:r>
                <w:rPr>
                  <w:rStyle w:val="InternetLink"/>
                  <w:caps w:val="false"/>
                  <w:smallCaps w:val="false"/>
                  <w:color w:val="596E80"/>
                </w:rPr>
                <w:t>TOCK</w:t>
              </w:r>
            </w:hyperlink>
            <w:hyperlink w:anchor="tDOCS">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hyperlink w:anchor="tDOCS">
              <w:r>
                <w:rPr>
                  <w:rStyle w:val="InternetLink"/>
                  <w:color w:val="596E80"/>
                </w:rPr>
                <w:t xml:space="preserve">11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0"/>
              <w:jc w:val="left"/>
              <w:rPr/>
            </w:pPr>
            <w:hyperlink w:anchor="tDODS">
              <w:r>
                <w:rPr>
                  <w:rStyle w:val="InternetLink"/>
                  <w:color w:val="596E80"/>
                </w:rPr>
                <w:t>D</w:t>
              </w:r>
            </w:hyperlink>
            <w:hyperlink w:anchor="tDODS">
              <w:r>
                <w:rPr>
                  <w:rStyle w:val="InternetLink"/>
                  <w:caps w:val="false"/>
                  <w:smallCaps w:val="false"/>
                  <w:color w:val="596E80"/>
                </w:rPr>
                <w:t>ESCRIPTION OF</w:t>
              </w:r>
            </w:hyperlink>
            <w:hyperlink w:anchor="tDODS">
              <w:r>
                <w:rPr>
                  <w:rStyle w:val="InternetLink"/>
                  <w:color w:val="596E80"/>
                </w:rPr>
                <w:t xml:space="preserve"> D</w:t>
              </w:r>
            </w:hyperlink>
            <w:hyperlink w:anchor="tDODS">
              <w:r>
                <w:rPr>
                  <w:rStyle w:val="InternetLink"/>
                  <w:caps w:val="false"/>
                  <w:smallCaps w:val="false"/>
                  <w:color w:val="596E80"/>
                </w:rPr>
                <w:t>EBT</w:t>
              </w:r>
            </w:hyperlink>
            <w:hyperlink w:anchor="tDODS">
              <w:r>
                <w:rPr>
                  <w:rStyle w:val="InternetLink"/>
                  <w:color w:val="596E80"/>
                </w:rPr>
                <w:t xml:space="preserve"> S</w:t>
              </w:r>
            </w:hyperlink>
            <w:hyperlink w:anchor="tDODS">
              <w:r>
                <w:rPr>
                  <w:rStyle w:val="InternetLink"/>
                  <w:caps w:val="false"/>
                  <w:smallCaps w:val="false"/>
                  <w:color w:val="596E80"/>
                </w:rPr>
                <w:t>ECURITIES</w:t>
              </w:r>
            </w:hyperlink>
            <w:hyperlink w:anchor="tDODS">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DODS">
              <w:r>
                <w:rPr>
                  <w:rStyle w:val="InternetLink"/>
                  <w:color w:val="596E80"/>
                </w:rPr>
                <w:t xml:space="preserve">16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tDOW">
              <w:r>
                <w:rPr>
                  <w:rStyle w:val="InternetLink"/>
                  <w:color w:val="596E80"/>
                </w:rPr>
                <w:t>D</w:t>
              </w:r>
            </w:hyperlink>
            <w:hyperlink w:anchor="tDOW">
              <w:r>
                <w:rPr>
                  <w:rStyle w:val="InternetLink"/>
                  <w:caps w:val="false"/>
                  <w:smallCaps w:val="false"/>
                  <w:color w:val="596E80"/>
                </w:rPr>
                <w:t>ESCRIPTION OF</w:t>
              </w:r>
            </w:hyperlink>
            <w:hyperlink w:anchor="tDOW">
              <w:r>
                <w:rPr>
                  <w:rStyle w:val="InternetLink"/>
                  <w:color w:val="596E80"/>
                </w:rPr>
                <w:t xml:space="preserve"> W</w:t>
              </w:r>
            </w:hyperlink>
            <w:hyperlink w:anchor="tDOW">
              <w:r>
                <w:rPr>
                  <w:rStyle w:val="InternetLink"/>
                  <w:caps w:val="false"/>
                  <w:smallCaps w:val="false"/>
                  <w:color w:val="596E80"/>
                </w:rPr>
                <w:t>ARRANTS</w:t>
              </w:r>
            </w:hyperlink>
            <w:hyperlink w:anchor="tDOW">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hyperlink w:anchor="tDOW">
              <w:r>
                <w:rPr>
                  <w:rStyle w:val="InternetLink"/>
                  <w:color w:val="596E80"/>
                </w:rPr>
                <w:t xml:space="preserve">22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0"/>
              <w:jc w:val="left"/>
              <w:rPr/>
            </w:pPr>
            <w:hyperlink w:anchor="tLOOS">
              <w:r>
                <w:rPr>
                  <w:rStyle w:val="InternetLink"/>
                  <w:color w:val="596E80"/>
                </w:rPr>
                <w:t>L</w:t>
              </w:r>
            </w:hyperlink>
            <w:hyperlink w:anchor="tLOOS">
              <w:r>
                <w:rPr>
                  <w:rStyle w:val="InternetLink"/>
                  <w:caps w:val="false"/>
                  <w:smallCaps w:val="false"/>
                  <w:color w:val="596E80"/>
                </w:rPr>
                <w:t>EGAL</w:t>
              </w:r>
            </w:hyperlink>
            <w:hyperlink w:anchor="tLOOS">
              <w:r>
                <w:rPr>
                  <w:rStyle w:val="InternetLink"/>
                  <w:color w:val="596E80"/>
                </w:rPr>
                <w:t xml:space="preserve"> O</w:t>
              </w:r>
            </w:hyperlink>
            <w:hyperlink w:anchor="tLOOS">
              <w:r>
                <w:rPr>
                  <w:rStyle w:val="InternetLink"/>
                  <w:caps w:val="false"/>
                  <w:smallCaps w:val="false"/>
                  <w:color w:val="596E80"/>
                </w:rPr>
                <w:t>WNERSHIP OF</w:t>
              </w:r>
            </w:hyperlink>
            <w:hyperlink w:anchor="tLOOS">
              <w:r>
                <w:rPr>
                  <w:rStyle w:val="InternetLink"/>
                  <w:color w:val="596E80"/>
                </w:rPr>
                <w:t xml:space="preserve"> S</w:t>
              </w:r>
            </w:hyperlink>
            <w:hyperlink w:anchor="tLOOS">
              <w:r>
                <w:rPr>
                  <w:rStyle w:val="InternetLink"/>
                  <w:caps w:val="false"/>
                  <w:smallCaps w:val="false"/>
                  <w:color w:val="596E80"/>
                </w:rPr>
                <w:t>ECURITIES</w:t>
              </w:r>
            </w:hyperlink>
            <w:hyperlink w:anchor="tLOOS">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LOOS">
              <w:r>
                <w:rPr>
                  <w:rStyle w:val="InternetLink"/>
                  <w:color w:val="596E80"/>
                </w:rPr>
                <w:t xml:space="preserve">24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tPOD">
              <w:r>
                <w:rPr>
                  <w:rStyle w:val="InternetLink"/>
                  <w:color w:val="596E80"/>
                </w:rPr>
                <w:t>P</w:t>
              </w:r>
            </w:hyperlink>
            <w:hyperlink w:anchor="tPOD">
              <w:r>
                <w:rPr>
                  <w:rStyle w:val="InternetLink"/>
                  <w:caps w:val="false"/>
                  <w:smallCaps w:val="false"/>
                  <w:color w:val="596E80"/>
                </w:rPr>
                <w:t>LAN OF</w:t>
              </w:r>
            </w:hyperlink>
            <w:hyperlink w:anchor="tPOD">
              <w:r>
                <w:rPr>
                  <w:rStyle w:val="InternetLink"/>
                  <w:color w:val="596E80"/>
                </w:rPr>
                <w:t xml:space="preserve"> D</w:t>
              </w:r>
            </w:hyperlink>
            <w:hyperlink w:anchor="tPOD">
              <w:r>
                <w:rPr>
                  <w:rStyle w:val="InternetLink"/>
                  <w:caps w:val="false"/>
                  <w:smallCaps w:val="false"/>
                  <w:color w:val="596E80"/>
                </w:rPr>
                <w:t>ISTRIBUTION</w:t>
              </w:r>
            </w:hyperlink>
            <w:hyperlink w:anchor="tPOD">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hyperlink w:anchor="tPOD">
              <w:r>
                <w:rPr>
                  <w:rStyle w:val="InternetLink"/>
                  <w:color w:val="596E80"/>
                </w:rPr>
                <w:t xml:space="preserve">27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0"/>
              <w:jc w:val="left"/>
              <w:rPr/>
            </w:pPr>
            <w:hyperlink w:anchor="tLEMA">
              <w:r>
                <w:rPr>
                  <w:rStyle w:val="InternetLink"/>
                  <w:color w:val="596E80"/>
                </w:rPr>
                <w:t>L</w:t>
              </w:r>
            </w:hyperlink>
            <w:hyperlink w:anchor="tLEMA">
              <w:r>
                <w:rPr>
                  <w:rStyle w:val="InternetLink"/>
                  <w:caps w:val="false"/>
                  <w:smallCaps w:val="false"/>
                  <w:color w:val="596E80"/>
                </w:rPr>
                <w:t>EGAL</w:t>
              </w:r>
            </w:hyperlink>
            <w:hyperlink w:anchor="tLEMA">
              <w:r>
                <w:rPr>
                  <w:rStyle w:val="InternetLink"/>
                  <w:color w:val="596E80"/>
                </w:rPr>
                <w:t xml:space="preserve"> M</w:t>
              </w:r>
            </w:hyperlink>
            <w:hyperlink w:anchor="tLEMA">
              <w:r>
                <w:rPr>
                  <w:rStyle w:val="InternetLink"/>
                  <w:caps w:val="false"/>
                  <w:smallCaps w:val="false"/>
                  <w:color w:val="596E80"/>
                </w:rPr>
                <w:t>ATTERS</w:t>
              </w:r>
            </w:hyperlink>
            <w:hyperlink w:anchor="tLEMA">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LEMA">
              <w:r>
                <w:rPr>
                  <w:rStyle w:val="InternetLink"/>
                  <w:color w:val="596E80"/>
                </w:rPr>
                <w:t xml:space="preserve">29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283"/>
              <w:jc w:val="left"/>
              <w:rPr/>
            </w:pPr>
            <w:hyperlink w:anchor="tEXP">
              <w:r>
                <w:rPr>
                  <w:rStyle w:val="InternetLink"/>
                  <w:color w:val="596E80"/>
                </w:rPr>
                <w:t>E</w:t>
              </w:r>
            </w:hyperlink>
            <w:hyperlink w:anchor="tEXP">
              <w:r>
                <w:rPr>
                  <w:rStyle w:val="InternetLink"/>
                  <w:caps w:val="false"/>
                  <w:smallCaps w:val="false"/>
                  <w:color w:val="596E80"/>
                </w:rPr>
                <w:t>XPERTS</w:t>
              </w:r>
            </w:hyperlink>
            <w:hyperlink w:anchor="tEXP">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hyperlink w:anchor="tEXP">
              <w:r>
                <w:rPr>
                  <w:rStyle w:val="InternetLink"/>
                  <w:color w:val="596E80"/>
                </w:rPr>
                <w:t xml:space="preserve">29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81" w:type="dxa"/>
            <w:tcBorders/>
            <w:tcMar>
              <w:bottom w:w="0" w:type="dxa"/>
            </w:tcMar>
            <w:vAlign w:val="center"/>
          </w:tcPr>
          <w:p>
            <w:pPr>
              <w:pStyle w:val="TableContents"/>
              <w:bidi w:val="0"/>
              <w:spacing w:before="0" w:after="0"/>
              <w:jc w:val="left"/>
              <w:rPr/>
            </w:pPr>
            <w:hyperlink w:anchor="tWYCF">
              <w:r>
                <w:rPr>
                  <w:rStyle w:val="InternetLink"/>
                  <w:color w:val="596E80"/>
                </w:rPr>
                <w:t>W</w:t>
              </w:r>
            </w:hyperlink>
            <w:hyperlink w:anchor="tWYCF">
              <w:r>
                <w:rPr>
                  <w:rStyle w:val="InternetLink"/>
                  <w:caps w:val="false"/>
                  <w:smallCaps w:val="false"/>
                  <w:color w:val="596E80"/>
                </w:rPr>
                <w:t>HERE</w:t>
              </w:r>
            </w:hyperlink>
            <w:hyperlink w:anchor="tWYCF">
              <w:r>
                <w:rPr>
                  <w:rStyle w:val="InternetLink"/>
                  <w:color w:val="596E80"/>
                </w:rPr>
                <w:t xml:space="preserve"> Y</w:t>
              </w:r>
            </w:hyperlink>
            <w:hyperlink w:anchor="tWYCF">
              <w:r>
                <w:rPr>
                  <w:rStyle w:val="InternetLink"/>
                  <w:caps w:val="false"/>
                  <w:smallCaps w:val="false"/>
                  <w:color w:val="596E80"/>
                </w:rPr>
                <w:t>OU</w:t>
              </w:r>
            </w:hyperlink>
            <w:hyperlink w:anchor="tWYCF">
              <w:r>
                <w:rPr>
                  <w:rStyle w:val="InternetLink"/>
                  <w:color w:val="596E80"/>
                </w:rPr>
                <w:t xml:space="preserve"> C</w:t>
              </w:r>
            </w:hyperlink>
            <w:hyperlink w:anchor="tWYCF">
              <w:r>
                <w:rPr>
                  <w:rStyle w:val="InternetLink"/>
                  <w:caps w:val="false"/>
                  <w:smallCaps w:val="false"/>
                  <w:color w:val="596E80"/>
                </w:rPr>
                <w:t>AN</w:t>
              </w:r>
            </w:hyperlink>
            <w:hyperlink w:anchor="tWYCF">
              <w:r>
                <w:rPr>
                  <w:rStyle w:val="InternetLink"/>
                  <w:color w:val="596E80"/>
                </w:rPr>
                <w:t xml:space="preserve"> F</w:t>
              </w:r>
            </w:hyperlink>
            <w:hyperlink w:anchor="tWYCF">
              <w:r>
                <w:rPr>
                  <w:rStyle w:val="InternetLink"/>
                  <w:caps w:val="false"/>
                  <w:smallCaps w:val="false"/>
                  <w:color w:val="596E80"/>
                </w:rPr>
                <w:t>IND</w:t>
              </w:r>
            </w:hyperlink>
            <w:hyperlink w:anchor="tWYCF">
              <w:r>
                <w:rPr>
                  <w:rStyle w:val="InternetLink"/>
                  <w:color w:val="596E80"/>
                </w:rPr>
                <w:t xml:space="preserve"> M</w:t>
              </w:r>
            </w:hyperlink>
            <w:hyperlink w:anchor="tWYCF">
              <w:r>
                <w:rPr>
                  <w:rStyle w:val="InternetLink"/>
                  <w:caps w:val="false"/>
                  <w:smallCaps w:val="false"/>
                  <w:color w:val="596E80"/>
                </w:rPr>
                <w:t>ORE</w:t>
              </w:r>
            </w:hyperlink>
            <w:hyperlink w:anchor="tWYCF">
              <w:r>
                <w:rPr>
                  <w:rStyle w:val="InternetLink"/>
                  <w:color w:val="596E80"/>
                </w:rPr>
                <w:t xml:space="preserve"> I</w:t>
              </w:r>
            </w:hyperlink>
            <w:hyperlink w:anchor="tWYCF">
              <w:r>
                <w:rPr>
                  <w:rStyle w:val="InternetLink"/>
                  <w:caps w:val="false"/>
                  <w:smallCaps w:val="false"/>
                  <w:color w:val="596E80"/>
                </w:rPr>
                <w:t>NFORMATION</w:t>
              </w:r>
            </w:hyperlink>
            <w:hyperlink w:anchor="tWYCF">
              <w:r>
                <w:rPr>
                  <w:rStyle w:val="InternetLink"/>
                  <w:color w:val="596E80"/>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WYCF">
              <w:r>
                <w:rPr>
                  <w:rStyle w:val="InternetLink"/>
                  <w:color w:val="596E80"/>
                </w:rPr>
                <w:t xml:space="preserve">29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81" w:type="dxa"/>
            <w:tcBorders/>
            <w:shd w:fill="CCEEFF" w:val="clear"/>
            <w:tcMar>
              <w:bottom w:w="0" w:type="dxa"/>
            </w:tcMar>
            <w:vAlign w:val="center"/>
          </w:tcPr>
          <w:p>
            <w:pPr>
              <w:pStyle w:val="TableContents"/>
              <w:bidi w:val="0"/>
              <w:spacing w:before="0" w:after="0"/>
              <w:jc w:val="left"/>
              <w:rPr/>
            </w:pPr>
            <w:hyperlink w:anchor="tIOCI">
              <w:r>
                <w:rPr>
                  <w:rStyle w:val="InternetLink"/>
                  <w:color w:val="596E80"/>
                </w:rPr>
                <w:t>I</w:t>
              </w:r>
            </w:hyperlink>
            <w:hyperlink w:anchor="tIOCI">
              <w:r>
                <w:rPr>
                  <w:rStyle w:val="InternetLink"/>
                  <w:caps w:val="false"/>
                  <w:smallCaps w:val="false"/>
                  <w:color w:val="596E80"/>
                </w:rPr>
                <w:t>NCORPORATION OF</w:t>
              </w:r>
            </w:hyperlink>
            <w:hyperlink w:anchor="tIOCI">
              <w:r>
                <w:rPr>
                  <w:rStyle w:val="InternetLink"/>
                  <w:color w:val="596E80"/>
                </w:rPr>
                <w:t xml:space="preserve"> C</w:t>
              </w:r>
            </w:hyperlink>
            <w:hyperlink w:anchor="tIOCI">
              <w:r>
                <w:rPr>
                  <w:rStyle w:val="InternetLink"/>
                  <w:caps w:val="false"/>
                  <w:smallCaps w:val="false"/>
                  <w:color w:val="596E80"/>
                </w:rPr>
                <w:t>ERTAIN</w:t>
              </w:r>
            </w:hyperlink>
            <w:hyperlink w:anchor="tIOCI">
              <w:r>
                <w:rPr>
                  <w:rStyle w:val="InternetLink"/>
                  <w:color w:val="596E80"/>
                </w:rPr>
                <w:t xml:space="preserve"> I</w:t>
              </w:r>
            </w:hyperlink>
            <w:hyperlink w:anchor="tIOCI">
              <w:r>
                <w:rPr>
                  <w:rStyle w:val="InternetLink"/>
                  <w:caps w:val="false"/>
                  <w:smallCaps w:val="false"/>
                  <w:color w:val="596E80"/>
                </w:rPr>
                <w:t>NFORMATION BY</w:t>
              </w:r>
            </w:hyperlink>
            <w:hyperlink w:anchor="tIOCI">
              <w:r>
                <w:rPr>
                  <w:rStyle w:val="InternetLink"/>
                  <w:color w:val="596E80"/>
                </w:rPr>
                <w:t xml:space="preserve"> R</w:t>
              </w:r>
            </w:hyperlink>
            <w:hyperlink w:anchor="tIOCI">
              <w:r>
                <w:rPr>
                  <w:rStyle w:val="InternetLink"/>
                  <w:caps w:val="false"/>
                  <w:smallCaps w:val="false"/>
                  <w:color w:val="596E80"/>
                </w:rPr>
                <w:t>EFERENCE</w:t>
              </w:r>
            </w:hyperlink>
            <w:hyperlink w:anchor="tIOCI">
              <w:r>
                <w:rPr>
                  <w:rStyle w:val="InternetLink"/>
                  <w:color w:val="596E80"/>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hyperlink w:anchor="tIOCI">
              <w:r>
                <w:rPr>
                  <w:rStyle w:val="InternetLink"/>
                  <w:color w:val="596E80"/>
                </w:rPr>
                <w:t>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TP"/>
      <w:bookmarkEnd w:id="17"/>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ABOUT THIS PROSPECTUS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is a part of a registration statement on Form S-3 that we filed with the Securities and Exchange Commission, or SEC, utilizing a “shelf” registration process. Under this shelf registration process, we may offer and sell any combination of the securities described in this prospectus in one or more offerings up to a total aggregate offering price of  $300,000,000. This prospectus provides you with a general description of the securities we may offer.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Each time we offer and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THIS PROSPECTUS MAY NOT BE USED TO CONSUMMATE A SALE OF SECURITIES UNLESS IT IS ACCOMPANIED BY A PROSPECTUS SUPPLEMENT.</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Neither we, nor any agent, underwriter or dealer has authorized any person to give any information or to make any representation other than those contained or incorporated by reference into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contains and incorporates by reference market data and industry statistics and forecasts that are based on independent industry publications and other publicly available information. Information that is based on estimates, forecasts, projections, market research, or similar methodologies is inherently subject to uncertainties and involves a number of assumptions and limitations; as a result, actual events or circumstances may differ materially from events and circumstances that are assumed in this information. The industry in which we operate is subject to a high degree of uncertainty and risk due to a variety of factors, including those described under the heading “Risk Factors.” Although we are responsible for all of the disclosure contained in this prospectus and we believe that the data we use from third parties are reliable, we have not separately verified this data. Further, while we believe that our internal research is reliable, such research has not been verified by any third party. You are cautioned not to give undue weight to any such information, projections, and estimates.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ii</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980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Except as otherwise indicated or unless the context otherwise requires, references to “company,” “we,” “us,” “our” or “Outlook Therapeutics,” refer to Outlook Therapeutics, Inc. and its consolidated subsidiaries.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name “Outlook Therapeutics,” the Outlook Therapeutics logo and other trademarks or service marks of Outlook Therapeutics, Inc. appearing in this prospectus and in any prospectus supplement or free writing prospectus and the information incorporated by reference herein or therein are the property of Outlook Therapeutics, Inc. Other trademarks, service marks or trade names appearing in this prospectus in any prospectus supplement or free writing prospectus and the information incorporated by reference herein or therein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iii</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RSU"/>
      <w:bookmarkEnd w:id="18"/>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PROSPECTUS SUMMARY</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caps w:val="false"/>
          <w:smallCaps w:val="false"/>
          <w:color w:val="596E80"/>
          <w:sz w:val="20"/>
        </w:rPr>
      </w:pPr>
      <w:r>
        <w:rPr>
          <w:rFonts w:ascii="Times New Roman;Times;serif" w:hAnsi="Times New Roman;Times;serif"/>
          <w:b w:val="false"/>
          <w:i/>
          <w:caps w:val="false"/>
          <w:smallCaps w:val="false"/>
          <w:color w:val="596E80"/>
          <w:sz w:val="20"/>
        </w:rPr>
        <w:t>This summary highlights selected information contained elsewhere in this prospectus or incorporated by reference herein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r>
        <w:rPr>
          <w:rFonts w:ascii="Times New Roman;Times;serif" w:hAnsi="Times New Roman;Times;serif"/>
          <w:b w:val="false"/>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Overview</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are a biopharmaceutical company working to launch the first ophthalmic formulation of bevacizumab approved by the U.S. Food and Drug Administration, or the FDA, for use in retinal indications. Our goal is to launch directly in the United States as the first and only approved ophthalmic bevacizumab for the treatment of wet age-related macular degeneration, or wet AMD, diabetic macular edema, or DME, and branch retinal vein occlusion, or BRVO. Our plans also include seeking approval and launching the product in the United Kingdom, Europe, Japan and other markets, either directly into those markets or through a strategic partner. If approved, we expect to receive 12 years of regulatory exclusivity in the United States and up to 10 years of market exclusivity in the European Union.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Bevacizumab is a full-length, humanized anti-VEGF (Vascular Endothelial Growth Factor) recombinant monoclonal antibody, or mAb, that inhibits VEGF and associated angiogenic activity. In March 2022, we submitted a BLA with the FDA for ONS-5010 (LYTENAVA (bevacizumab-vikg)), an investigational ophthalmic formulation of bevacizumab, which we have developed to be administered as an intravitreal injection for the treatment of wet AMD and other retinal diseases. In May 2022, we voluntarily withdrew our BLA to provide additional information requested by the FDA. We re-submitted the BLA to the FDA for ONS-5010 on August 30, 2022, and in October 2022, we received confirmation from the FDA that our BLA had been accepted for filing with a Prescription Drug User Fee Act, or PDUFA, date of August 29, 2023 for a review decision by the FDA. On August 29, 2023, we received a Complete Response Letter, or CRL, in which the FDA concluded it could not approve our BLA during this review cycle due to several chemical, manufacturing and control, or CMC, issues, open observations from pre-approval manufacturing inspections, and a lack of substantial evidence. At subsequent Type A meetings with the FDA, we learned that the FDA was also requiring the successful completion of an additional adequate and well-controlled clinical trial evaluating ONS-5010, as well as additional requested CMC data indicated in the CRL to approve ONS-5010 for use in wet AMD.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agreed to conduct an additional adequate, and well-controlled clinical trial following discussions with the FDA in support of our BLA for ONS-5010. In December 2023, we submitted a Special Protocol Assessment, or SPA, to the FDA for this study (NORSE EIGHT) seeking confirmation that, if successful, it will address the FDA’s requirement for a second adequate and well-controlled clinical trial to support our planned resubmission of the ONS-5010 BLA. In January 2024, we received confirmation that the FDA has reviewed and agreed upon the NORSE EIGHT trial protocol pursuant to the SPA. If the NORSE EIGHT trial is successful, it would satisfy the FDA’s requirement for a second adequate and well-controlled clinical trial to address fully the clinical deficiency identified in the CRL. The first subject was enrolled in NORSE EIGHT in January 2024. In addition, through a Type A meeting and additional interactions, we have identified the approaches needed to resolve the CMC comments in the CRL. We are working to address the open items and expect to resolve these comments prior to the expected completion of NORSE EIGHT.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Separately, in October 2022 we submitted a Marketing Authorization Application, or MAA, for ONS-5010 with the European Medicines Agency, or the EMA. On December 22, 2022, our MAA was validated for review by the EMA. The MAA was submitted as a ‘full-mixed marketing authorisation application’ based on Article 8.3 of Directive 2001/83/EC. The formal review process of the MAA by the EMA’s Committee for Medicinal Products for Human Use, or CHMP, is now underway with an estimated decision date expected in the first half of calendar year 2024. ONS-5010 is our sole product candidate in active development.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initial BLA submission for ONS-5010 in wet AMD involved three clinical trials, which we refer to as NORSE ONE, NORSE TWO and NORSE THREE. The study design for our clinical program to evaluate ONS-5010 as an ophthalmic formulation of bevacizumab was reviewed at an end of Phase 2 meeting with the FDA in April 2018, and we filed our investigational new drug application, or IND, with the FDA in the first quarter of calendar 2019. In August 2020, we reported achieving the anticipated safety and efficacy and positive proof-of-concept topline results from NORSE ONE, a clinical experience study. NORSE TWO is our pivotal Phase 3 clinical trial comparing ONS-5010 (bevacizumab-vikg) to ranibizumab (LUCENTIS). The topline results reported from NORSE TWO in August 2021 showed that ONS-5010 met the primary and key secondary endpoint for efficacy with clinically impactful change observed for treated patients. The NORSE TWO primary endpoint difference in proportion of subjects gaining at least 15 letters in Best Corrected Visual Acuity, or BCVA, score was met and was both highly statistically significant and clinically relevant. In the intent to treat, or ITT, primary dataset, the percentage of patients who gained at least 15 letters who were treated with ONS-5010, was 41.7%, and the percentage of patients who gained at least 15 letters who were treated with ranibizumab was 23.1% (p = 0.0052). The primary endpoint was also statistically significant and clinically relevant in the secondary per protocol, or PP, dataset (p = 0.04) where the percentages were almost identical, at 41.0% with ONS-5010, and 24.7% with ranibizumab. The key secondary endpoint BCVA score change from baseline to month 11 in the primary ITT dataset was also highly statistically significant and clinically relevant (p = 0.0035). A mean change of 11.2 letters in BCVA score was observed with ONS-5010, and with ranibizumab the mean change was 5.8 letters. The results were also statistically significant in the secondary PP dataset (p = 0.01) with a mean change with ONS-5010 of 11.1 letters versus 7.0 letters with ranibizumab. Additionally, the majority of ONS-5010 subjects maintained or gained BCVA during the study (defined as change from baseline in BCVA ≥ 0), with at least 80% of ONS-5010 subjects maintaining BCVA each month. Results were also positive for the remaining NORSE TWO secondary endpoints with 56.5% (p = 0.0016) of ONS-5010 subjects gaining ≥ 10 letters of vision and 68.5% (p = 0.0116) of ONS-5010 subjects gaining ≥ 5 letters of vision. NORSE THREE is an open-label safety study we conducted to ensure the adequate number of safety exposures to ONS-5010 were available for the initial ONS-5010 BLA submission with the FDA. In March 2021, we reported that the results from NORSE THREE showed a positive safety profile for ONS-5010. The NORSE BLA registration program is also being used to support our MAA submission in the European Union.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we agreed with the FDA in the SPA, NORSE EIGHT will be a randomized, controlled, parallel-group, masked, non-inferiority study of approximately 400 newly diagnosed, wet AMD subjects randomized in a 1:1 ratio to receive 1.25 mg ONS-5010 or 0.5 mg ranibizumab intravitreal injections. Subjects will receive injections at Day 0 (randomization), Week 4, and Week 8 visits. The primary endpoint will be mean change in BCVA from baseline to week 8. The first subject was enrolled in NORSE EIGHT in January 2024. We expect NORSE EIGHT topline results and potential resubmission of the ONS-5010 BLA by the end of calendar year 2024.</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Additionally, in November 2021, we began enrolling patients in our NORSE SEVEN clinical trial. The study compares the safety of ophthalmic bevacizumab in vials versus pre-filled syringes in subjects diagnosed with a retinal condition that would benefit from treatment with intravitreal injection of bevacizumab, including exudative age-related macular degeneration, DME, or BRVO. Subjects will be treated for three months, and the enrollment of subjects in the arm of the study receiving ONS-5010 in vials has been completed.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have also received agreement from the FDA on three Special Protocol Assessments, or SPAs, for three additional registration clinical trials for our ongoing Phase 3 program for ONS-5010. The agreements reached with the FDA on these SPAs cover the protocols for NORSE FOUR, a registration clinical trial evaluating ONS-5010 to treat BRVO, and NORSE FIVE and NORSE SIX, two registration clinical trials evaluating ONS-5010 to treat DME. We intend to initiate these studies following the anticipated FDA approval of our BLA for wet AMD.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Because there are no approved bevacizumab products for the treatment of retinal diseases in the United States and other major global markets, we submitted a standard BLA, and are not using the biosimilar drug development pathway that would be required if Avastin were an approved drug for the targeted diseases. If approved, we believe ONS-5010 has potential to mitigate risks associated with off-label use of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120" w:after="570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unapproved bevacizumab. In the United States, approximately 66.3% of new patient starts are off-label repackaged bevacizumab (ASRS 2022 Membership Survey Presented at ASRS NY 2022).</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Risks Associated with our Business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Implications of Being a Smaller Reporting Company</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are a “smaller reporting company” as defined in the Securities Exchange Act of 1934, as amended, or the Exchange Act. As a smaller reporting company, we are eligible to take advantage of certain exemptions from disclosure requirements, including not being required to comply with the auditor attestation requirements of Section 404 of the Sarbanes-Oxley Act and reduced disclosure obligations regarding executive compensation. We will be able to take advantage of the scaled disclosures available to smaller reporting companies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Company Information</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We initially incorporated in January 2010 in New Jersey as Oncobiologics, Inc., and in October 2015, we reincorporated in Delaware by merging with and into a Delaware corporation. In November 2018, we changed our name to Outlook Therapeutics, Inc. Our headquarters are located at 485 Route 1 South, Building F, Suite 320, Iselin, New Jersey 08830, and our telephone number at that location is (609) 619-3990. Our website address is www.outlooktherapeutics.com. The information contained on, or that can be accessed through, our website is not part of, and is not incorporated by reference into this prospectus.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TSWM"/>
      <w:bookmarkEnd w:id="19"/>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THE SECURITIES WE MAY OFFER</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offer shares of our common stock and preferred stock, various series of debt securities and/or warrants to purchase any of such securities, either individually or in combination, up to a total aggregate offering price of  $300,000,000 from time to time in one or more offerings under this prospectus, together with the applicable prospectus supplement and any related free writing prospectus, at prices and on terms to be determined by market conditions at the time of the relevant offering.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designation or classification;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524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aggregate principal amount or aggregate offering price;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524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maturity;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524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original issue discount;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524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rates and times of payment of interest or dividends;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524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redemption, conversion, exercise, exchange or sinking fund terms;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524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restrictive covenants;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524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voting or other rights;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524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conversion or exchange prices or rates and, if applicable, any provisions for changes to or adjustments in the conversion or exchange prices or rates and in the securities or other property receivable upon conversion or exchange;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524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ranking;</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524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restrictive covenants;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524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voting or other rights;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524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discussion of material or special U.S. federal income tax considerations.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524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This prospectus may not be used to consummate a sale of securities unless it is accompanied by a prospectus supplement.</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names of those agents, underwriters or dealers;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524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applicable fees, discounts and commissions to be paid to them;</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524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details regarding over-allotment or other options, if any;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524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net proceeds to us.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524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caps w:val="false"/>
          <w:smallCaps w:val="false"/>
          <w:color w:val="596E80"/>
          <w:sz w:val="20"/>
        </w:rPr>
      </w:pPr>
      <w:r>
        <w:rPr>
          <w:rFonts w:ascii="Times New Roman;Times;serif" w:hAnsi="Times New Roman;Times;serif"/>
          <w:b w:val="false"/>
          <w:i/>
          <w:caps w:val="false"/>
          <w:smallCaps w:val="false"/>
          <w:color w:val="596E80"/>
          <w:sz w:val="20"/>
        </w:rPr>
        <w:t>Common Stock</w:t>
      </w:r>
      <w:r>
        <w:rPr>
          <w:rFonts w:ascii="Times New Roman;Times;serif" w:hAnsi="Times New Roman;Times;serif"/>
          <w:b w:val="false"/>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We may issue shares of our common stock from time to time. Holders of our common stock are entitled to one vote per share for the election of directors and on all other matters that require stockholder approval. Subject to any preferential rights of any then outstanding preferred stock, in the event of our liquidation,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our common stock or any other securities convertible into shares of common stock, or any redemption rights.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caps w:val="false"/>
          <w:smallCaps w:val="false"/>
          <w:color w:val="596E80"/>
          <w:sz w:val="20"/>
        </w:rPr>
      </w:pPr>
      <w:r>
        <w:rPr>
          <w:rFonts w:ascii="Times New Roman;Times;serif" w:hAnsi="Times New Roman;Times;serif"/>
          <w:b w:val="false"/>
          <w:i/>
          <w:caps w:val="false"/>
          <w:smallCaps w:val="false"/>
          <w:color w:val="596E80"/>
          <w:sz w:val="20"/>
        </w:rPr>
        <w:t>Preferred Stock</w:t>
      </w:r>
      <w:r>
        <w:rPr>
          <w:rFonts w:ascii="Times New Roman;Times;serif" w:hAnsi="Times New Roman;Times;serif"/>
          <w:b w:val="false"/>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issue shares of our preferred stock from time to time, in one or more series. Under our amended and restated certificate of 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 We urge you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caps w:val="false"/>
          <w:smallCaps w:val="false"/>
          <w:color w:val="596E80"/>
          <w:sz w:val="20"/>
        </w:rPr>
      </w:pPr>
      <w:r>
        <w:rPr>
          <w:rFonts w:ascii="Times New Roman;Times;serif" w:hAnsi="Times New Roman;Times;serif"/>
          <w:b w:val="false"/>
          <w:i/>
          <w:caps w:val="false"/>
          <w:smallCaps w:val="false"/>
          <w:color w:val="596E80"/>
          <w:sz w:val="20"/>
        </w:rPr>
        <w:t>Debt Securities</w:t>
      </w:r>
      <w:r>
        <w:rPr>
          <w:rFonts w:ascii="Times New Roman;Times;serif" w:hAnsi="Times New Roman;Times;serif"/>
          <w:b w:val="false"/>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caps w:val="false"/>
          <w:smallCaps w:val="false"/>
          <w:color w:val="596E80"/>
          <w:sz w:val="20"/>
        </w:rPr>
      </w:pPr>
      <w:r>
        <w:rPr>
          <w:rFonts w:ascii="Times New Roman;Times;serif" w:hAnsi="Times New Roman;Times;serif"/>
          <w:b w:val="false"/>
          <w:i/>
          <w:caps w:val="false"/>
          <w:smallCaps w:val="false"/>
          <w:color w:val="596E80"/>
          <w:sz w:val="20"/>
        </w:rPr>
        <w:t>Warrants</w:t>
      </w:r>
      <w:r>
        <w:rPr>
          <w:rFonts w:ascii="Times New Roman;Times;serif" w:hAnsi="Times New Roman;Times;serif"/>
          <w:b w:val="false"/>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r>
        <w:rPr>
          <w:rFonts w:ascii="Times New Roman;Times;serif" w:hAnsi="Times New Roman;Times;serif"/>
          <w:b w:val="false"/>
          <w:i w:val="false"/>
          <w:caps w:val="false"/>
          <w:smallCaps w:val="false"/>
          <w:color w:val="596E80"/>
          <w:spacing w:val="4"/>
          <w:sz w:val="20"/>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120" w:after="1170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pStyle w:val="TextBody"/>
        <w:bidi w:val="0"/>
        <w:spacing w:before="0" w:after="283"/>
        <w:ind w:left="913" w:right="0" w:hanging="0"/>
        <w:jc w:val="left"/>
        <w:rPr>
          <w:caps w:val="false"/>
          <w:smallCaps w:val="false"/>
          <w:color w:val="596E80"/>
          <w:bdr w:val="single" w:sz="8" w:space="1" w:color="596E80"/>
        </w:rPr>
      </w:pPr>
      <w:r>
        <w:rPr>
          <w:caps w:val="false"/>
          <w:smallCaps w:val="false"/>
          <w:color w:val="596E80"/>
          <w:bdr w:val="single" w:sz="8" w:space="1" w:color="596E80"/>
        </w:rPr>
        <w:t>​</w:t>
      </w:r>
    </w:p>
    <w:p>
      <w:pPr>
        <w:pStyle w:val="TextBody"/>
        <w:bidi w:val="0"/>
        <w:spacing w:lineRule="atLeast" w:line="240" w:before="0" w:after="437"/>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RIFA"/>
      <w:bookmarkEnd w:id="20"/>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9320"/>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RISK FACTORS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pPr>
      <w:r>
        <w:rPr>
          <w:rFonts w:ascii="Times New Roman;Times;serif" w:hAnsi="Times New Roman;Times;serif"/>
          <w:b w:val="false"/>
          <w:i w:val="false"/>
          <w:caps w:val="false"/>
          <w:smallCaps w:val="false"/>
          <w:color w:val="596E80"/>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w:t>
      </w:r>
      <w:hyperlink r:id="rId40">
        <w:r>
          <w:rPr>
            <w:rStyle w:val="InternetLink"/>
          </w:rPr>
          <w:t>Annual Report on Form 10-K for the fiscal year ended September 30, 2023</w:t>
        </w:r>
      </w:hyperlink>
      <w:r>
        <w:rPr>
          <w:rFonts w:ascii="Times New Roman;Times;serif" w:hAnsi="Times New Roman;Times;serif"/>
          <w:b w:val="false"/>
          <w:i w:val="false"/>
          <w:caps w:val="false"/>
          <w:smallCaps w:val="false"/>
          <w:color w:val="596E80"/>
          <w:sz w:val="20"/>
        </w:rPr>
        <w:t xml:space="preserve">, as updated by our subsequent annual, quarterly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SNRF"/>
      <w:bookmarkEnd w:id="21"/>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SPECIAL NOTE REGARDING FORWARD-LOOKING STATEMENTS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including the documents that we incorporate by reference herein, contains, and any applicable prospectus supplement or free writing prospectus including the documents we incorporate by reference therein may contains forward-looking statements within the meaning of Section 27A of the Securities Act of 1933, as amended, or the Securities Act, and Section 21E of the Exchange Act, about us and our industry that involve substantial risks and uncertainties. All statements, other than statements of historical facts contained in this prospectus, including statements regarding our future financial condition, business strategy and plans, and objectives of management for future operations, are forward-looking statements. In some cases you can identify these statements by forward-looking words such as “anticipate,” “believe,” “continue,” “could,” “estimate,” “expect,” “intend,” “may,” “plan,” “potentially,” “seek,” “should,” “will,” “would,” or the negative of these terms or similar expressions. These forward-looking statements include, but are not limited to, statements concerning the following: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initiation, timing, progress and results of our clinical trials of our lead product candidate, ONS-5010;</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1524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reliance on our contract manufacturing organizations and other vendors;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1524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the results of our clinical trials will be sufficient to support domestic or global regulatory approvals;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524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obtain and maintain regulatory approval for ONS-5010 in the United States and other markets;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524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expectations regarding the potential market size and the size of the patient populations for our product candidates, if approved, for commercial use;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524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fund our working capital requirements;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524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rate and degree of market acceptance of our current and future product candidates, including our commercialization strategy and manufacturing capabilities for ONS-5010;</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524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implementation of our business model and strategic plans for our business and product candidates;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524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developments or disputes concerning our intellectual property or other proprietary rights;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524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maintain and establish collaborations or obtain additional funding;</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524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expectations regarding government and third-party payor coverage and reimbursement;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524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ability to compete in the markets we serve;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524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factors that may impact our financial results;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524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expectations and estimates regarding the sufficiency of our cash resources and our need for additional funding.</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524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which are incorporated by reference into this prospectus in their entirety, as well as any amendments thereto reflected in subsequent filings with the SEC. These risks are not exhaustive. Additional factors could harm our business and financial performance, such as risks associated with the current macroeconomic environment, including as a result of the impacts of inflation, high interest rates, current or potential future bank failures or ongoing overseas conflict.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1016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UOP"/>
      <w:bookmarkEnd w:id="22"/>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8240"/>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USE OF PROCEEDS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general corporate purposes, which may include, among other things, funding research and development, clinical trials, vendor payables, potential regulatory submissions, hiring additional personnel and capital expenditures. We may also use a portion of the net proceeds to in-license, acquire, or invest in additional businesses, technologies, products, or assets, though we currently have no specific agreements, commitments, or understandings with respect to any in-licensing or acquisitions.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The amounts and timing of our use of the net proceeds from this offering will depend on a number of factors, such as the timing and progress of our research and development efforts, the timing and progress of any partnering and commercialization efforts, technological advances and the competitive environment for our products. As of the date of this prospectus, we cannot specify with certainty all of the particular uses for the net proceeds to us from the sale of the securities offered by us hereunder. Accordingly, our management will have broad discretion in the timing and application of these proceeds. Pending application of the net proceeds as described above, we intend to temporarily invest the proceeds in short-term, interest-bearing instruments.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DOCS"/>
      <w:bookmarkEnd w:id="23"/>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DESCRIPTION OF CAPITAL STOCK</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of the date of this prospectus, our authorized capital stock consists of 60,000,000 shares of common stock, par value $0.01 per share, and 10,000,000 shares of preferred stock, par value $0.01 per share.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following summary description of our capital stock is based on the provisions of our restated certificate of incorporation, or our Certificate of Incorporation, our second amended and restated bylaws, or our Bylaws, and the applicable provisions of the Delaware General Corporation Law, or DGCL. This information may not be complete in all respects and is qualified entirely by reference to the provisions of our Certificate of Incorporation, our Bylaws and the DGCL. For information on how to obtain copies of our Certificate of Incorporation and our Bylaws, see “Where You Can Find More Information.”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Common Stock</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of March 22, 2024, we had 21,584,256 shares of common stock outstanding, which amount gives effect to a 1-for-20 reverse stock split of our common stock effected on March 14, 2024 and a private placement of shares of our common stock and accompanying warrants to purchase common stock that closed on March 18, 2024.</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Voting Rights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Each holder of common stock is entitled to one vote for each share on all matters submitted to a vote of the stockholders. The affirmative vote of holders of 66</w:t>
      </w:r>
      <w:r>
        <w:rPr>
          <w:rFonts w:ascii="Times New Roman;Times;serif" w:hAnsi="Times New Roman;Times;serif"/>
          <w:b w:val="false"/>
          <w:i w:val="false"/>
          <w:caps w:val="false"/>
          <w:smallCaps w:val="false"/>
          <w:color w:val="596E80"/>
          <w:sz w:val="14"/>
        </w:rPr>
        <w:t>2</w:t>
      </w:r>
      <w:r>
        <w:rPr>
          <w:rFonts w:ascii="Times New Roman;Times;serif" w:hAnsi="Times New Roman;Times;serif"/>
          <w:b w:val="false"/>
          <w:i w:val="false"/>
          <w:caps w:val="false"/>
          <w:smallCaps w:val="false"/>
          <w:color w:val="596E80"/>
          <w:sz w:val="20"/>
        </w:rPr>
        <w:t>∕</w:t>
      </w:r>
      <w:r>
        <w:rPr>
          <w:rFonts w:ascii="Times New Roman;Times;serif" w:hAnsi="Times New Roman;Times;serif"/>
          <w:b w:val="false"/>
          <w:i w:val="false"/>
          <w:caps w:val="false"/>
          <w:smallCaps w:val="false"/>
          <w:color w:val="596E80"/>
          <w:sz w:val="14"/>
        </w:rPr>
        <w:t>3</w:t>
      </w:r>
      <w:r>
        <w:rPr>
          <w:rFonts w:ascii="Times New Roman;Times;serif" w:hAnsi="Times New Roman;Times;serif"/>
          <w:b w:val="false"/>
          <w:i w:val="false"/>
          <w:caps w:val="false"/>
          <w:smallCaps w:val="false"/>
          <w:color w:val="596E80"/>
          <w:sz w:val="20"/>
        </w:rPr>
        <w:t>% of the voting power of all of the then-outstanding shares of capital stock, voting as a single class, will be required to amend certain provisions of our Certificate of Incorporation, including provisions relating to amending our Bylaws, the classified board, the size of our board, removal of directors, director liability, vacancies on our board, special meetings, stockholder notices, actions by written consent and exclusive jurisdiction.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Dividends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Subject to preferences that may apply to any outstanding preferred stock, holders of our common stock are entitled to receive ratably any dividends that our board of directors may declare out of funds legally available for that purpose on a non-cumulative basis.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Liquidation</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the event of our liquidation, dissolution or winding up, holders of our common stock are entitled to share ratably in all assets remaining after payment of liabilities and the liquidation preference of any outstanding preferred stock.</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Rights and Preferences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Common Stock Equivalents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of March 22, 2024, we had issued and outstanding 124 performance stock unit awards and 2,628,610 stock option awards under our equity incentive plans. At such date, we also had outstanding warrants to acquire an aggregate of 13,136,193 shares of our common stock, including the Private Placement Warrants (as defined below).</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caps w:val="false"/>
          <w:smallCaps w:val="false"/>
          <w:color w:val="596E80"/>
          <w:sz w:val="20"/>
        </w:rPr>
      </w:pPr>
      <w:r>
        <w:rPr>
          <w:rFonts w:ascii="Times New Roman;Times;serif" w:hAnsi="Times New Roman;Times;serif"/>
          <w:b w:val="false"/>
          <w:i/>
          <w:caps w:val="false"/>
          <w:smallCaps w:val="false"/>
          <w:color w:val="596E80"/>
          <w:sz w:val="20"/>
        </w:rPr>
        <w:t>Private Placement Warrants</w:t>
      </w:r>
      <w:r>
        <w:rPr>
          <w:rFonts w:ascii="Times New Roman;Times;serif" w:hAnsi="Times New Roman;Times;serif"/>
          <w:b w:val="false"/>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On March 18, 2024, in connection with a private placement, we issued warrants to purchase an aggregate of 12,857,133 shares of our common stock, or the Private Placement Warrants. The Private Placement Warrants have a per share exercise price equal to $7.70, subject to proportional adjustments in the event of stock splits or combinations or similar events. The Private Placement Warrants are exercisable only for cash, except in limited circumstances, at any time after the date of issuance, or the Issue Date, and will expire on March 18, 2029. A holder of Private Placement Warrants may not exercise the Private Placement Warrant if the holder, together with its affiliates, would beneficially own more than a specified percentage of the outstanding common stock (4.99%, 9.99% or 19.99%, as applicable), immediately after giving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effect to such exercise, which may be increased or decreased at the holders’ option (not to exceed 19.99%), effective 61 days after written notice to us.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addition, we may require the holders to cash exercise the Private Placement Warrants under certain circumstances as follows: (i) if the volume-weighted average price of our common stock equals or exceeds $20.00 per share (subject to adjustment in the event of stock splits, combinations or similar events) for 30 consecutive days, or the Stock Price Condition, at any time after we publicly announces topline data from our NORSE EIGHT clinical trial evidencing satisfaction of the trial’s primary endpoints, or the NORSE EIGHT Announcement, upon the consent of a majority of the members of our board of directors, we may require the holders to exercise up to 20% of the aggregate number of Private Placement Warrants issued to such holder on the Issue Date; and (ii) we may require up to the remainder of the Private Placement Warrants be exercised (A) if the Stock Price Condition is satisfied at any time after we publicly announce approval from the FDA of the BLA for ONS-5010, upon the consent of a majority of the members of our board of directors or (B) if the Stock Price Condition is satisfied at any time after the NORSE EIGHT Announcement, upon the unanimous consent of the members of our board of directors present at duly called meeting.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Preferred Stock</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 Our board of directors has previously designated 1,000,000 shares as “Series A Convertible Preferred Stock,” 200,000 shares as “Series A-1 Convertible Preferred Stock” and 1,500,000 shares as “Series B Convertible Preferred Stock.” As of March 22, 2024, we did not have any shares of preferred stock issued and outstanding.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title and stated value;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57">
                <wp:simplePos x="0" y="0"/>
                <wp:positionH relativeFrom="column">
                  <wp:align>left</wp:align>
                </wp:positionH>
                <wp:positionV relativeFrom="line">
                  <wp:align>top</wp:align>
                </wp:positionV>
                <wp:extent cx="1524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number of shares authorized;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58">
                <wp:simplePos x="0" y="0"/>
                <wp:positionH relativeFrom="column">
                  <wp:align>left</wp:align>
                </wp:positionH>
                <wp:positionV relativeFrom="line">
                  <wp:align>top</wp:align>
                </wp:positionV>
                <wp:extent cx="1524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liquidation preference per share;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59">
                <wp:simplePos x="0" y="0"/>
                <wp:positionH relativeFrom="column">
                  <wp:align>left</wp:align>
                </wp:positionH>
                <wp:positionV relativeFrom="line">
                  <wp:align>top</wp:align>
                </wp:positionV>
                <wp:extent cx="1524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purchase price;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60">
                <wp:simplePos x="0" y="0"/>
                <wp:positionH relativeFrom="column">
                  <wp:align>left</wp:align>
                </wp:positionH>
                <wp:positionV relativeFrom="line">
                  <wp:align>top</wp:align>
                </wp:positionV>
                <wp:extent cx="1524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dividend rate, period and payment date, and method of calculation for dividends;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61">
                <wp:simplePos x="0" y="0"/>
                <wp:positionH relativeFrom="column">
                  <wp:align>left</wp:align>
                </wp:positionH>
                <wp:positionV relativeFrom="line">
                  <wp:align>top</wp:align>
                </wp:positionV>
                <wp:extent cx="1524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dividends will be cumulative or non-cumulative and, if cumulative, the date from which dividends will accumulate;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62">
                <wp:simplePos x="0" y="0"/>
                <wp:positionH relativeFrom="column">
                  <wp:align>left</wp:align>
                </wp:positionH>
                <wp:positionV relativeFrom="line">
                  <wp:align>top</wp:align>
                </wp:positionV>
                <wp:extent cx="1524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procedures for any auction and remarketing, if any;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524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provisions for a sinking fund, if any;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524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provisions for redemption or repurchase, if applicable, and any restrictions on our ability to exercise those redemption and repurchase rights;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524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listing of the preferred stock on any securities exchange or market;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524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the preferred stock will be convertible into our common stock, and, if applicable, the conversion price, or how it will be calculated, and the conversion period;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524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the preferred stock will be exchangeable into debt securities, and, if applicable, the exchange price, or how it will be calculated, and the exchange period;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524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voting rights, if any, of the preferred stock;</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524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preemptive rights, if any;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0" distB="0" distL="254000" distR="0" simplePos="0" locked="0" layoutInCell="1" allowOverlap="1" relativeHeight="170">
                <wp:simplePos x="0" y="0"/>
                <wp:positionH relativeFrom="column">
                  <wp:align>left</wp:align>
                </wp:positionH>
                <wp:positionV relativeFrom="line">
                  <wp:posOffset>635</wp:posOffset>
                </wp:positionV>
                <wp:extent cx="1524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restrictions on transfer, sale or other assignment, if any;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71">
                <wp:simplePos x="0" y="0"/>
                <wp:positionH relativeFrom="column">
                  <wp:align>left</wp:align>
                </wp:positionH>
                <wp:positionV relativeFrom="line">
                  <wp:align>top</wp:align>
                </wp:positionV>
                <wp:extent cx="1524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interests in the preferred stock will be represented by depositary shares;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72">
                <wp:simplePos x="0" y="0"/>
                <wp:positionH relativeFrom="column">
                  <wp:align>left</wp:align>
                </wp:positionH>
                <wp:positionV relativeFrom="line">
                  <wp:align>top</wp:align>
                </wp:positionV>
                <wp:extent cx="1524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discussion of any material U.S. federal income tax considerations applicable to the preferred stock;</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73">
                <wp:simplePos x="0" y="0"/>
                <wp:positionH relativeFrom="column">
                  <wp:align>left</wp:align>
                </wp:positionH>
                <wp:positionV relativeFrom="line">
                  <wp:align>top</wp:align>
                </wp:positionV>
                <wp:extent cx="1524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relative ranking and preferences of the preferred stock as to dividend rights and rights if we liquidate, dissolve or wind up our affairs;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74">
                <wp:simplePos x="0" y="0"/>
                <wp:positionH relativeFrom="column">
                  <wp:align>left</wp:align>
                </wp:positionH>
                <wp:positionV relativeFrom="line">
                  <wp:align>top</wp:align>
                </wp:positionV>
                <wp:extent cx="1524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limitations on issuance of any class or series of preferred stock ranking senior to or on a parity with the series of preferred stock as to dividend rights and rights if we liquidate, dissolve or wind up our affairs;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75">
                <wp:simplePos x="0" y="0"/>
                <wp:positionH relativeFrom="column">
                  <wp:align>left</wp:align>
                </wp:positionH>
                <wp:positionV relativeFrom="line">
                  <wp:align>top</wp:align>
                </wp:positionV>
                <wp:extent cx="1524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other specific terms, preferences, rights or limitations of, or restrictions on, the preferred stock.</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76">
                <wp:simplePos x="0" y="0"/>
                <wp:positionH relativeFrom="column">
                  <wp:align>left</wp:align>
                </wp:positionH>
                <wp:positionV relativeFrom="line">
                  <wp:align>top</wp:align>
                </wp:positionV>
                <wp:extent cx="1524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When we issue shares of preferred stock under this prospectus, the shares will fully be paid and nonassessable and will not have, or be subject to, any preemptive or similar rights.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Stockholder Registration Rights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Certain holders of our securities, including certain holders of 5% of our capital stock, and certain of our directors are entitled to certain rights with respect to registration of such securities under the Securities Act. These securities are referred to as registrable securities. The holders of these registrable securities possess registration rights pursuant to the terms of registration rights agreements.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general, the registration of shares of our common stock pursuant to the exercise of registration rights enables the holders to trade such shares without restriction under the Securities Act when the applicable registration statement is declared effective. We generally have agreed to pay the registration expenses for such registration statements, other than underwriting discounts, selling commissions and stock transfer taxes, of the shares registered.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Generally, in an underwritten offering, the managing underwriter, if any, has the right, subject to specified conditions, to limit the number of shares the holders may include. We must use commercially reasonable efforts to keep the registration statement effective until the earlier of the date on which all registrable securities covered by such registration statement have been sold, or at such time that the holders of the registrable securities can sell their shares under Rule 144 of the Securities Act during any three-month period.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Anti-Takeover Provisions of Delaware Law and Our Charter Documents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Section 203 of the DGCL</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before such date, the board of directors of the corporation approved either the business combination or the transaction that resulted in the stockholder becoming an interested stockholder; </w:t>
      </w:r>
      <w:r>
        <mc:AlternateContent>
          <mc:Choice Requires="wps">
            <w:drawing>
              <wp:anchor behindDoc="0" distT="72390" distB="0" distL="254000" distR="0" simplePos="0" locked="0" layoutInCell="1" allowOverlap="1" relativeHeight="177">
                <wp:simplePos x="0" y="0"/>
                <wp:positionH relativeFrom="column">
                  <wp:align>left</wp:align>
                </wp:positionH>
                <wp:positionV relativeFrom="line">
                  <wp:align>top</wp:align>
                </wp:positionV>
                <wp:extent cx="1524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1120" distB="0" distL="254000" distR="0" simplePos="0" locked="0" layoutInCell="1" allowOverlap="1" relativeHeight="178">
                <wp:simplePos x="0" y="0"/>
                <wp:positionH relativeFrom="column">
                  <wp:align>left</wp:align>
                </wp:positionH>
                <wp:positionV relativeFrom="line">
                  <wp:align>top</wp:align>
                </wp:positionV>
                <wp:extent cx="1524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on or after such date, the business combination is approved by the board of directors and authorized at an annual or special meeting of the stockholders, and not by written consent, by the affirmative vote of at least 66</w:t>
      </w:r>
      <w:r>
        <w:rPr>
          <w:rFonts w:ascii="Times New Roman;Times;serif" w:hAnsi="Times New Roman;Times;serif"/>
          <w:b w:val="false"/>
          <w:i w:val="false"/>
          <w:caps w:val="false"/>
          <w:smallCaps w:val="false"/>
          <w:color w:val="596E80"/>
          <w:sz w:val="14"/>
        </w:rPr>
        <w:t>2</w:t>
      </w:r>
      <w:r>
        <w:rPr>
          <w:rFonts w:ascii="Times New Roman;Times;serif" w:hAnsi="Times New Roman;Times;serif"/>
          <w:b w:val="false"/>
          <w:i w:val="false"/>
          <w:caps w:val="false"/>
          <w:smallCaps w:val="false"/>
          <w:color w:val="596E80"/>
          <w:sz w:val="20"/>
        </w:rPr>
        <w:t>∕</w:t>
      </w:r>
      <w:r>
        <w:rPr>
          <w:rFonts w:ascii="Times New Roman;Times;serif" w:hAnsi="Times New Roman;Times;serif"/>
          <w:b w:val="false"/>
          <w:i w:val="false"/>
          <w:caps w:val="false"/>
          <w:smallCaps w:val="false"/>
          <w:color w:val="596E80"/>
          <w:sz w:val="14"/>
        </w:rPr>
        <w:t>3</w:t>
      </w:r>
      <w:r>
        <w:rPr>
          <w:rFonts w:ascii="Times New Roman;Times;serif" w:hAnsi="Times New Roman;Times;serif"/>
          <w:b w:val="false"/>
          <w:i w:val="false"/>
          <w:caps w:val="false"/>
          <w:smallCaps w:val="false"/>
          <w:color w:val="596E80"/>
          <w:sz w:val="20"/>
        </w:rPr>
        <w:t>% of the outstanding voting stock that is not owned by the interested stockholder.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79">
                <wp:simplePos x="0" y="0"/>
                <wp:positionH relativeFrom="column">
                  <wp:align>left</wp:align>
                </wp:positionH>
                <wp:positionV relativeFrom="line">
                  <wp:align>top</wp:align>
                </wp:positionV>
                <wp:extent cx="1524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general, Section 203 defines a “business combination” to include the following: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merger or consolidation involving the corporation and the interested stockholder;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80">
                <wp:simplePos x="0" y="0"/>
                <wp:positionH relativeFrom="column">
                  <wp:align>left</wp:align>
                </wp:positionH>
                <wp:positionV relativeFrom="line">
                  <wp:align>top</wp:align>
                </wp:positionV>
                <wp:extent cx="1524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sale, transfer, pledge or other disposition of 10% or more of the assets of the corporation involving the interested stockholder;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81">
                <wp:simplePos x="0" y="0"/>
                <wp:positionH relativeFrom="column">
                  <wp:align>left</wp:align>
                </wp:positionH>
                <wp:positionV relativeFrom="line">
                  <wp:align>top</wp:align>
                </wp:positionV>
                <wp:extent cx="1524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subject to certain exceptions, any transaction that results in the issuance or transfer by the corporation of any stock of the corporation to the interested stockholder;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82">
                <wp:simplePos x="0" y="0"/>
                <wp:positionH relativeFrom="column">
                  <wp:align>left</wp:align>
                </wp:positionH>
                <wp:positionV relativeFrom="line">
                  <wp:align>top</wp:align>
                </wp:positionV>
                <wp:extent cx="1524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transaction involving the corporation that has the effect of increasing the proportionate share of the stock or any class or series of the corporation beneficially owned by the interested stockholder;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83">
                <wp:simplePos x="0" y="0"/>
                <wp:positionH relativeFrom="column">
                  <wp:align>left</wp:align>
                </wp:positionH>
                <wp:positionV relativeFrom="line">
                  <wp:align>top</wp:align>
                </wp:positionV>
                <wp:extent cx="1524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receipt by the interested stockholder of the benefit of any loans, advances, guarantees, pledges or other financial benefits by or through the corporation;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84">
                <wp:simplePos x="0" y="0"/>
                <wp:positionH relativeFrom="column">
                  <wp:align>left</wp:align>
                </wp:positionH>
                <wp:positionV relativeFrom="line">
                  <wp:align>top</wp:align>
                </wp:positionV>
                <wp:extent cx="1524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85">
                <wp:simplePos x="0" y="0"/>
                <wp:positionH relativeFrom="column">
                  <wp:align>left</wp:align>
                </wp:positionH>
                <wp:positionV relativeFrom="line">
                  <wp:align>top</wp:align>
                </wp:positionV>
                <wp:extent cx="1524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Certificate of Incorporation and Bylaws</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Among other things, our Certificate of Incorporation and Bylaws: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permit our board of directors to issue up to 10,000,000 shares of preferred stock, with any rights, preferences and privileges as they may designate, including the right to approve an acquisition or other change in control;</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86">
                <wp:simplePos x="0" y="0"/>
                <wp:positionH relativeFrom="column">
                  <wp:align>left</wp:align>
                </wp:positionH>
                <wp:positionV relativeFrom="line">
                  <wp:align>top</wp:align>
                </wp:positionV>
                <wp:extent cx="1524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provide that the authorized number of directors may be changed only by resolution of our board of directors;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87">
                <wp:simplePos x="0" y="0"/>
                <wp:positionH relativeFrom="column">
                  <wp:align>left</wp:align>
                </wp:positionH>
                <wp:positionV relativeFrom="line">
                  <wp:align>top</wp:align>
                </wp:positionV>
                <wp:extent cx="1524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provide that our board of directors is classified into three classes of directors;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88">
                <wp:simplePos x="0" y="0"/>
                <wp:positionH relativeFrom="column">
                  <wp:align>left</wp:align>
                </wp:positionH>
                <wp:positionV relativeFrom="line">
                  <wp:align>top</wp:align>
                </wp:positionV>
                <wp:extent cx="1524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provide that, subject to the rights of any series of preferred stock to elect directors, directors may only be removed for cause, which removal may be effected, subject to any limitation imposed by law, by the holders of at least a majority of the voting power of all of our then-outstanding shares of the capital stock entitled to vote generally at an election of directors;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89">
                <wp:simplePos x="0" y="0"/>
                <wp:positionH relativeFrom="column">
                  <wp:align>left</wp:align>
                </wp:positionH>
                <wp:positionV relativeFrom="line">
                  <wp:align>top</wp:align>
                </wp:positionV>
                <wp:extent cx="1524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provide that all vacancies, including newly created directorships, may, except as otherwise required by law, be filled by the affirmative vote of a majority of directors then in office, even if less than a quorum;</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90">
                <wp:simplePos x="0" y="0"/>
                <wp:positionH relativeFrom="column">
                  <wp:align>left</wp:align>
                </wp:positionH>
                <wp:positionV relativeFrom="line">
                  <wp:align>top</wp:align>
                </wp:positionV>
                <wp:extent cx="1524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require that any action to be taken by our stockholders must be effected at a duly called annual or special meeting of stockholders and not be taken by written consent or electronic transmission;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91">
                <wp:simplePos x="0" y="0"/>
                <wp:positionH relativeFrom="column">
                  <wp:align>left</wp:align>
                </wp:positionH>
                <wp:positionV relativeFrom="line">
                  <wp:align>top</wp:align>
                </wp:positionV>
                <wp:extent cx="1524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 </w:t>
      </w:r>
      <w:r>
        <mc:AlternateContent>
          <mc:Choice Requires="wps">
            <w:drawing>
              <wp:anchor behindDoc="0" distT="72390" distB="0" distL="254000" distR="0" simplePos="0" locked="0" layoutInCell="1" allowOverlap="1" relativeHeight="192">
                <wp:simplePos x="0" y="0"/>
                <wp:positionH relativeFrom="column">
                  <wp:align>left</wp:align>
                </wp:positionH>
                <wp:positionV relativeFrom="line">
                  <wp:align>top</wp:align>
                </wp:positionV>
                <wp:extent cx="1524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provide that special meetings of our stockholders may be called only by the chairman of our board of directors, our chief executive officer or president or by our board of directors pursuant to a resolution adopted by a majority of the total number of authorized directors;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93">
                <wp:simplePos x="0" y="0"/>
                <wp:positionH relativeFrom="column">
                  <wp:align>left</wp:align>
                </wp:positionH>
                <wp:positionV relativeFrom="line">
                  <wp:align>top</wp:align>
                </wp:positionV>
                <wp:extent cx="1524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not provide for cumulative voting rights, therefore allowing the holders of a majority of the shares of common stock entitled to vote in any election of directors to elect all of the directors standing for election, if they should so choose.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194">
                <wp:simplePos x="0" y="0"/>
                <wp:positionH relativeFrom="column">
                  <wp:align>left</wp:align>
                </wp:positionH>
                <wp:positionV relativeFrom="line">
                  <wp:align>top</wp:align>
                </wp:positionV>
                <wp:extent cx="1524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amendment of any of these provisions requires approval by the holders of at least 66</w:t>
      </w:r>
      <w:r>
        <w:rPr>
          <w:rFonts w:ascii="Times New Roman;Times;serif" w:hAnsi="Times New Roman;Times;serif"/>
          <w:b w:val="false"/>
          <w:i w:val="false"/>
          <w:caps w:val="false"/>
          <w:smallCaps w:val="false"/>
          <w:color w:val="596E80"/>
          <w:sz w:val="14"/>
        </w:rPr>
        <w:t>2</w:t>
      </w:r>
      <w:r>
        <w:rPr>
          <w:rFonts w:ascii="Times New Roman;Times;serif" w:hAnsi="Times New Roman;Times;serif"/>
          <w:b w:val="false"/>
          <w:i w:val="false"/>
          <w:caps w:val="false"/>
          <w:smallCaps w:val="false"/>
          <w:color w:val="596E80"/>
          <w:sz w:val="20"/>
        </w:rPr>
        <w:t>∕</w:t>
      </w:r>
      <w:r>
        <w:rPr>
          <w:rFonts w:ascii="Times New Roman;Times;serif" w:hAnsi="Times New Roman;Times;serif"/>
          <w:b w:val="false"/>
          <w:i w:val="false"/>
          <w:caps w:val="false"/>
          <w:smallCaps w:val="false"/>
          <w:color w:val="596E80"/>
          <w:sz w:val="14"/>
        </w:rPr>
        <w:t>3</w:t>
      </w:r>
      <w:r>
        <w:rPr>
          <w:rFonts w:ascii="Times New Roman;Times;serif" w:hAnsi="Times New Roman;Times;serif"/>
          <w:b w:val="false"/>
          <w:i w:val="false"/>
          <w:caps w:val="false"/>
          <w:smallCaps w:val="false"/>
          <w:color w:val="596E80"/>
          <w:sz w:val="20"/>
        </w:rPr>
        <w:t>% of the voting power of all of our then-outstanding common stock entitled to vote generally in the election of directors, voting together as a single class.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48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combination of these provisions may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Choice of Forum</w:t>
      </w:r>
      <w:r>
        <w:rPr>
          <w:rFonts w:ascii="Times New Roman;Times;serif" w:hAnsi="Times New Roman;Times;serif"/>
          <w:b/>
          <w:i/>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Certificate of Incorporation and our Bylaws provide that the Court of Chancery of the State of Delaware is the sole and exclusive forum for any derivative action or proceeding brought on our behalf; any action asserting a breach of fiduciary duty to us or our stockholders; any action asserting a claim against us arising pursuant to any provision of the DGCL, our Certificate of Incorporation or our Bylaws; or any action asserting a claim against us that is governed by the internal affairs doctrine.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Certificate of Incorporation to be inapplicable or unenforceable.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Listing</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common stock is listed on The Nasdaq Capital Market under the trading symbol “OTLK”. The applicable prospectus supplement will contain information, where applicable, as to any other listing, if any, on The Nasdaq Capital Market or any securities market or other exchange of the preferred stock or other securities covered by such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Transfer Agent and Registrar</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The transfer agent and registrar for our common stock is Equinti Trust Company, LLC. Its address is 48 Wall Street, Floor 23, New York, NY 10005.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DS"/>
      <w:bookmarkEnd w:id="24"/>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DESCRIPTION OF DEBT SECURITIES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General</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describe in the applicable prospectus supplement the terms of the series of debt securities being offered, including: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title of the series of debt securities;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195">
                <wp:simplePos x="0" y="0"/>
                <wp:positionH relativeFrom="column">
                  <wp:align>left</wp:align>
                </wp:positionH>
                <wp:positionV relativeFrom="line">
                  <wp:align>top</wp:align>
                </wp:positionV>
                <wp:extent cx="1524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limit upon the aggregate principal amount that may be issued;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196">
                <wp:simplePos x="0" y="0"/>
                <wp:positionH relativeFrom="column">
                  <wp:align>left</wp:align>
                </wp:positionH>
                <wp:positionV relativeFrom="line">
                  <wp:align>top</wp:align>
                </wp:positionV>
                <wp:extent cx="1524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maturity date or dates;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197">
                <wp:simplePos x="0" y="0"/>
                <wp:positionH relativeFrom="column">
                  <wp:align>left</wp:align>
                </wp:positionH>
                <wp:positionV relativeFrom="line">
                  <wp:align>top</wp:align>
                </wp:positionV>
                <wp:extent cx="1524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form of the debt securities of the series;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198">
                <wp:simplePos x="0" y="0"/>
                <wp:positionH relativeFrom="column">
                  <wp:align>left</wp:align>
                </wp:positionH>
                <wp:positionV relativeFrom="line">
                  <wp:align>top</wp:align>
                </wp:positionV>
                <wp:extent cx="1524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applicability of any guarantees;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199">
                <wp:simplePos x="0" y="0"/>
                <wp:positionH relativeFrom="column">
                  <wp:align>left</wp:align>
                </wp:positionH>
                <wp:positionV relativeFrom="line">
                  <wp:align>top</wp:align>
                </wp:positionV>
                <wp:extent cx="1524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or not the debt securities will be secured or unsecured, and the terms of any secured debt;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200">
                <wp:simplePos x="0" y="0"/>
                <wp:positionH relativeFrom="column">
                  <wp:align>left</wp:align>
                </wp:positionH>
                <wp:positionV relativeFrom="line">
                  <wp:align>top</wp:align>
                </wp:positionV>
                <wp:extent cx="1524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the debt securities rank as senior debt, senior subordinated debt, subordinated debt or any combination thereof, and the terms of any subordination;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201">
                <wp:simplePos x="0" y="0"/>
                <wp:positionH relativeFrom="column">
                  <wp:align>left</wp:align>
                </wp:positionH>
                <wp:positionV relativeFrom="line">
                  <wp:align>top</wp:align>
                </wp:positionV>
                <wp:extent cx="1524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202">
                <wp:simplePos x="0" y="0"/>
                <wp:positionH relativeFrom="column">
                  <wp:align>left</wp:align>
                </wp:positionH>
                <wp:positionV relativeFrom="line">
                  <wp:align>top</wp:align>
                </wp:positionV>
                <wp:extent cx="1524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interest rate or rates, which may be fixed or variable, or the method for determining the rate or rates and the date interest will begin to accrue, the dates interest will be payable and the regular record dates for interest payment dates or the method for determining such dates;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0" distB="0" distL="254000" distR="0" simplePos="0" locked="0" layoutInCell="1" allowOverlap="1" relativeHeight="203">
                <wp:simplePos x="0" y="0"/>
                <wp:positionH relativeFrom="column">
                  <wp:align>left</wp:align>
                </wp:positionH>
                <wp:positionV relativeFrom="line">
                  <wp:posOffset>635</wp:posOffset>
                </wp:positionV>
                <wp:extent cx="1524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right, if any, to defer payment of interest and the maximum length of any such deferral period;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04">
                <wp:simplePos x="0" y="0"/>
                <wp:positionH relativeFrom="column">
                  <wp:align>left</wp:align>
                </wp:positionH>
                <wp:positionV relativeFrom="line">
                  <wp:align>top</wp:align>
                </wp:positionV>
                <wp:extent cx="1524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05">
                <wp:simplePos x="0" y="0"/>
                <wp:positionH relativeFrom="column">
                  <wp:align>left</wp:align>
                </wp:positionH>
                <wp:positionV relativeFrom="line">
                  <wp:align>top</wp:align>
                </wp:positionV>
                <wp:extent cx="1524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06">
                <wp:simplePos x="0" y="0"/>
                <wp:positionH relativeFrom="column">
                  <wp:align>left</wp:align>
                </wp:positionH>
                <wp:positionV relativeFrom="line">
                  <wp:align>top</wp:align>
                </wp:positionV>
                <wp:extent cx="1524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denominations in which we will issue the series of debt securities, if other than denominations of  $1,000 and any integral multiple thereof;</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07">
                <wp:simplePos x="0" y="0"/>
                <wp:positionH relativeFrom="column">
                  <wp:align>left</wp:align>
                </wp:positionH>
                <wp:positionV relativeFrom="line">
                  <wp:align>top</wp:align>
                </wp:positionV>
                <wp:extent cx="1524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08">
                <wp:simplePos x="0" y="0"/>
                <wp:positionH relativeFrom="column">
                  <wp:align>left</wp:align>
                </wp:positionH>
                <wp:positionV relativeFrom="line">
                  <wp:align>top</wp:align>
                </wp:positionV>
                <wp:extent cx="1524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09">
                <wp:simplePos x="0" y="0"/>
                <wp:positionH relativeFrom="column">
                  <wp:align>left</wp:align>
                </wp:positionH>
                <wp:positionV relativeFrom="line">
                  <wp:align>top</wp:align>
                </wp:positionV>
                <wp:extent cx="1524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10">
                <wp:simplePos x="0" y="0"/>
                <wp:positionH relativeFrom="column">
                  <wp:align>left</wp:align>
                </wp:positionH>
                <wp:positionV relativeFrom="line">
                  <wp:align>top</wp:align>
                </wp:positionV>
                <wp:extent cx="1524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other than the full principal amount thereof, the portion of the principal amount of debt securities of the series which shall be payable upon declaration of acceleration of the maturity thereof;</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11">
                <wp:simplePos x="0" y="0"/>
                <wp:positionH relativeFrom="column">
                  <wp:align>left</wp:align>
                </wp:positionH>
                <wp:positionV relativeFrom="line">
                  <wp:align>top</wp:align>
                </wp:positionV>
                <wp:extent cx="1524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additions to or changes in the covenants applicable to the particular debt securities being issued, including, among others, the consolidation, merger or sale covenant;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12">
                <wp:simplePos x="0" y="0"/>
                <wp:positionH relativeFrom="column">
                  <wp:align>left</wp:align>
                </wp:positionH>
                <wp:positionV relativeFrom="line">
                  <wp:align>top</wp:align>
                </wp:positionV>
                <wp:extent cx="1524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additions to or changes in the events of default with respect to the securities and any change in the right of the trustee or the holders to declare the principal, premium, if any, and interest, if any, with respect to such securities to be due and payable;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13">
                <wp:simplePos x="0" y="0"/>
                <wp:positionH relativeFrom="column">
                  <wp:align>left</wp:align>
                </wp:positionH>
                <wp:positionV relativeFrom="line">
                  <wp:align>top</wp:align>
                </wp:positionV>
                <wp:extent cx="1524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additions to or changes in or deletions of the provisions relating to covenant defeasance and legal defeasance;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14">
                <wp:simplePos x="0" y="0"/>
                <wp:positionH relativeFrom="column">
                  <wp:align>left</wp:align>
                </wp:positionH>
                <wp:positionV relativeFrom="line">
                  <wp:align>top</wp:align>
                </wp:positionV>
                <wp:extent cx="1524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additions to or changes in the provisions relating to satisfaction and discharge of the indenture;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524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additions to or changes in the provisions relating to the modification of the indenture both with and without the consent of holders of debt securities issued under the indenture;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524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currency of payment of debt securities if other than U.S. dollars and the manner of determining the equivalent amount in U.S. dollars;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524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interest will be payable in cash or additional debt securities at our or the holders’ option and the terms and conditions upon which the election may be made;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524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terms and conditions, if any, upon which we will pay amounts in addition to the stated interest, premium, if any and principal amounts of the debt securities of the series to any holder that is not a “United States person” for federal tax purposes;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19">
                <wp:simplePos x="0" y="0"/>
                <wp:positionH relativeFrom="column">
                  <wp:align>left</wp:align>
                </wp:positionH>
                <wp:positionV relativeFrom="line">
                  <wp:align>top</wp:align>
                </wp:positionV>
                <wp:extent cx="1524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restrictions on transfer, sale or assignment of the debt securities of the series;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20">
                <wp:simplePos x="0" y="0"/>
                <wp:positionH relativeFrom="column">
                  <wp:align>left</wp:align>
                </wp:positionH>
                <wp:positionV relativeFrom="line">
                  <wp:align>top</wp:align>
                </wp:positionV>
                <wp:extent cx="1524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0" distB="0" distL="254000" distR="0" simplePos="0" locked="0" layoutInCell="1" allowOverlap="1" relativeHeight="221">
                <wp:simplePos x="0" y="0"/>
                <wp:positionH relativeFrom="column">
                  <wp:align>left</wp:align>
                </wp:positionH>
                <wp:positionV relativeFrom="line">
                  <wp:posOffset>635</wp:posOffset>
                </wp:positionV>
                <wp:extent cx="1524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Conversion or Exchange Rights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Consolidation, Merger or Sale</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Events of Default under the Indenture</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Unless we provide otherwise in the prospectus supplement applicable to a particular series of debt securities, the following are events of default under the indenture with respect to any series of debt securities that we may issue: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1120" distB="0" distL="254000" distR="0" simplePos="0" locked="0" layoutInCell="1" allowOverlap="1" relativeHeight="222">
                <wp:simplePos x="0" y="0"/>
                <wp:positionH relativeFrom="column">
                  <wp:align>left</wp:align>
                </wp:positionH>
                <wp:positionV relativeFrom="line">
                  <wp:align>top</wp:align>
                </wp:positionV>
                <wp:extent cx="1524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1120" distB="0" distL="254000" distR="0" simplePos="0" locked="0" layoutInCell="1" allowOverlap="1" relativeHeight="223">
                <wp:simplePos x="0" y="0"/>
                <wp:positionH relativeFrom="column">
                  <wp:align>left</wp:align>
                </wp:positionH>
                <wp:positionV relativeFrom="line">
                  <wp:align>top</wp:align>
                </wp:positionV>
                <wp:extent cx="1524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69850" distB="0" distL="254000" distR="0" simplePos="0" locked="0" layoutInCell="1" allowOverlap="1" relativeHeight="224">
                <wp:simplePos x="0" y="0"/>
                <wp:positionH relativeFrom="column">
                  <wp:align>left</wp:align>
                </wp:positionH>
                <wp:positionV relativeFrom="line">
                  <wp:align>top</wp:align>
                </wp:positionV>
                <wp:extent cx="1524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specified events of bankruptcy, insolvency or reorganization occur.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69850" distB="0" distL="254000" distR="0" simplePos="0" locked="0" layoutInCell="1" allowOverlap="1" relativeHeight="225">
                <wp:simplePos x="0" y="0"/>
                <wp:positionH relativeFrom="column">
                  <wp:align>left</wp:align>
                </wp:positionH>
                <wp:positionV relativeFrom="line">
                  <wp:align>top</wp:align>
                </wp:positionV>
                <wp:extent cx="1524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direction so given by the holder is not in conflict with any law or the applicable indenture;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26">
                <wp:simplePos x="0" y="0"/>
                <wp:positionH relativeFrom="column">
                  <wp:align>left</wp:align>
                </wp:positionH>
                <wp:positionV relativeFrom="line">
                  <wp:align>top</wp:align>
                </wp:positionV>
                <wp:extent cx="1524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subject to its duties under the Trust Indenture Act, the trustee need not take any action that might involve it in personal liability or might be unduly prejudicial to the holders not involved in the proceeding.</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27">
                <wp:simplePos x="0" y="0"/>
                <wp:positionH relativeFrom="column">
                  <wp:align>left</wp:align>
                </wp:positionH>
                <wp:positionV relativeFrom="line">
                  <wp:align>top</wp:align>
                </wp:positionV>
                <wp:extent cx="1524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holder of the debt securities of any series will have the right to institute a proceeding under the indenture or to appoint a receiver or trustee, or to seek other remedies only if:</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holder has given written notice to the trustee of a continuing event of default with respect to that series;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28">
                <wp:simplePos x="0" y="0"/>
                <wp:positionH relativeFrom="column">
                  <wp:align>left</wp:align>
                </wp:positionH>
                <wp:positionV relativeFrom="line">
                  <wp:align>top</wp:align>
                </wp:positionV>
                <wp:extent cx="1524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holders of at least 25% in aggregate principal amount of the outstanding debt securities of that series have made written request;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29">
                <wp:simplePos x="0" y="0"/>
                <wp:positionH relativeFrom="column">
                  <wp:align>left</wp:align>
                </wp:positionH>
                <wp:positionV relativeFrom="line">
                  <wp:align>top</wp:align>
                </wp:positionV>
                <wp:extent cx="1524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such holders have offered to the trustee indemnity satisfactory to it against the costs, expenses and liabilities to be incurred by the trustee in compliance with the request;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30">
                <wp:simplePos x="0" y="0"/>
                <wp:positionH relativeFrom="column">
                  <wp:align>left</wp:align>
                </wp:positionH>
                <wp:positionV relativeFrom="line">
                  <wp:align>top</wp:align>
                </wp:positionV>
                <wp:extent cx="1524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31">
                <wp:simplePos x="0" y="0"/>
                <wp:positionH relativeFrom="column">
                  <wp:align>left</wp:align>
                </wp:positionH>
                <wp:positionV relativeFrom="line">
                  <wp:align>top</wp:align>
                </wp:positionV>
                <wp:extent cx="1524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These limitations do not apply to a suit instituted by a holder of debt securities if we default in the payment of the principal, premium, if any, or interest on, the debt securities.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periodically file statements with the trustee regarding our compliance with specified covenants in the indenture.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Modification of Indenture; Waiver</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and the trustee may change an indenture without the consent of any holders with respect to specific matters: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cure any ambiguity, defect or inconsistency in the indenture or in the debt securities of any series;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32">
                <wp:simplePos x="0" y="0"/>
                <wp:positionH relativeFrom="column">
                  <wp:align>left</wp:align>
                </wp:positionH>
                <wp:positionV relativeFrom="line">
                  <wp:align>top</wp:align>
                </wp:positionV>
                <wp:extent cx="1524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comply with the provisions described above under “Description of Debt Securities—​Consolidation, Merger or Sale;”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524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to provide for uncertificated debt securities in addition to or in place of certificated debt securities; </w:t>
      </w:r>
      <w:r>
        <mc:AlternateContent>
          <mc:Choice Requires="wps">
            <w:drawing>
              <wp:anchor behindDoc="0" distT="74930" distB="0" distL="254000" distR="0" simplePos="0" locked="0" layoutInCell="1" allowOverlap="1" relativeHeight="234">
                <wp:simplePos x="0" y="0"/>
                <wp:positionH relativeFrom="column">
                  <wp:align>left</wp:align>
                </wp:positionH>
                <wp:positionV relativeFrom="line">
                  <wp:align>top</wp:align>
                </wp:positionV>
                <wp:extent cx="1524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35">
                <wp:simplePos x="0" y="0"/>
                <wp:positionH relativeFrom="column">
                  <wp:align>left</wp:align>
                </wp:positionH>
                <wp:positionV relativeFrom="line">
                  <wp:align>top</wp:align>
                </wp:positionV>
                <wp:extent cx="1524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add to, delete from or revise the conditions, limitations, and restrictions on the authorized amount, terms, or purposes of issue, authentication and delivery of debt securities, as set forth in the indenture;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36">
                <wp:simplePos x="0" y="0"/>
                <wp:positionH relativeFrom="column">
                  <wp:align>left</wp:align>
                </wp:positionH>
                <wp:positionV relativeFrom="line">
                  <wp:align>top</wp:align>
                </wp:positionV>
                <wp:extent cx="1524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make any change that does not adversely affect the interests of any holder of debt securities of any series in any material respect;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37">
                <wp:simplePos x="0" y="0"/>
                <wp:positionH relativeFrom="column">
                  <wp:align>left</wp:align>
                </wp:positionH>
                <wp:positionV relativeFrom="line">
                  <wp:align>top</wp:align>
                </wp:positionV>
                <wp:extent cx="1524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to provide for the issuance of and establish the form and terms and conditions of the debt securities of any series as provided above under “Description of Debt Securities—General” to </w:t>
      </w:r>
      <w:r>
        <mc:AlternateContent>
          <mc:Choice Requires="wps">
            <w:drawing>
              <wp:anchor behindDoc="0" distT="74930" distB="0" distL="254000" distR="0" simplePos="0" locked="0" layoutInCell="1" allowOverlap="1" relativeHeight="238">
                <wp:simplePos x="0" y="0"/>
                <wp:positionH relativeFrom="column">
                  <wp:align>left</wp:align>
                </wp:positionH>
                <wp:positionV relativeFrom="line">
                  <wp:align>top</wp:align>
                </wp:positionV>
                <wp:extent cx="1524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establish the form of any certifications required to be furnished pursuant to the terms of the indenture or any series of debt securities, or to add to the rights of the holders of any series of debt securities;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evidence and provide for the acceptance of appointment under any indenture by a successor trustee;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39">
                <wp:simplePos x="0" y="0"/>
                <wp:positionH relativeFrom="column">
                  <wp:align>left</wp:align>
                </wp:positionH>
                <wp:positionV relativeFrom="line">
                  <wp:align>top</wp:align>
                </wp:positionV>
                <wp:extent cx="1524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comply with any requirements of the SEC in connection with the qualification of any indenture under the Trust Indenture Act.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40">
                <wp:simplePos x="0" y="0"/>
                <wp:positionH relativeFrom="column">
                  <wp:align>left</wp:align>
                </wp:positionH>
                <wp:positionV relativeFrom="line">
                  <wp:align>top</wp:align>
                </wp:positionV>
                <wp:extent cx="1524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extending the fixed maturity of any debt securities of any series;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524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reducing the principal amount, reducing the rate of or extending the time of payment of interest, or reducing any premium payable upon the redemption of any series of any debt securities;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524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reducing the percentage of debt securities, the holders of which are required to consent to any amendment, supplement, modification or waiver.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43">
                <wp:simplePos x="0" y="0"/>
                <wp:positionH relativeFrom="column">
                  <wp:align>left</wp:align>
                </wp:positionH>
                <wp:positionV relativeFrom="line">
                  <wp:align>top</wp:align>
                </wp:positionV>
                <wp:extent cx="1524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Discharge</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Each indenture provides that we can elect to be discharged from our obligations with respect to one or more series of debt securities, except for specified obligations, including obligations to:</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provide for payment;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44">
                <wp:simplePos x="0" y="0"/>
                <wp:positionH relativeFrom="column">
                  <wp:align>left</wp:align>
                </wp:positionH>
                <wp:positionV relativeFrom="line">
                  <wp:align>top</wp:align>
                </wp:positionV>
                <wp:extent cx="1524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register the transfer or exchange of debt securities of the series;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524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replace stolen, lost or mutilated debt securities of the series;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524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pay principal of and premium and interest on any debt securities of the series;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524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maintain paying agencies;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524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hold monies for payment in trust;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524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recover excess money held by the trustee;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524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compensate and indemnify the trustee;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524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appoint any successor trustee.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524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order to exercise our rights to be discharged, we must deposit with the trustee money or government obligations sufficient to pay all the principal of, any premium, if any, and interest on, the debt securities of the series on the dates payments are due.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Form, Exchange and Transfer</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name in the applicable prospectus supplement the security registrar, and any transfer agent in addition to the security registrar, that we initially designate for any debt securities. We may at any time designate additional security registrars or transfer agents or rescind the designation of any security registrars or transfer agent or approve a change in the office through which any security registrars or transfer agent acts, except that we will be required to maintain a security registrar and a transfer agent in each place of payment for the debt securities of each series.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we elect to redeem the debt securities of any series, we will not be required to:</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1120" distB="0" distL="254000" distR="0" simplePos="0" locked="0" layoutInCell="1" allowOverlap="1" relativeHeight="253">
                <wp:simplePos x="0" y="0"/>
                <wp:positionH relativeFrom="column">
                  <wp:align>left</wp:align>
                </wp:positionH>
                <wp:positionV relativeFrom="line">
                  <wp:align>top</wp:align>
                </wp:positionV>
                <wp:extent cx="1524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register the transfer of or exchange any debt securities so selected for redemption, in whole or in part, except the unredeemed portion of any debt securities we are redeeming in part.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1120" distB="0" distL="254000" distR="0" simplePos="0" locked="0" layoutInCell="1" allowOverlap="1" relativeHeight="254">
                <wp:simplePos x="0" y="0"/>
                <wp:positionH relativeFrom="column">
                  <wp:align>left</wp:align>
                </wp:positionH>
                <wp:positionV relativeFrom="line">
                  <wp:align>top</wp:align>
                </wp:positionV>
                <wp:extent cx="1524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Information Concerning the Trustee</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Payment and Paying Agents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may at any time rescind the designation or any paying agent or approve a change in the office through which any paying agent acts, except that we will be required to maintain a paying agent in each place of payment for the debt securities of a particular series.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Governing Law</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indenture and the debt securities will be governed by and construed in accordance with the internal laws of the State of New York, except to the extent that the Trust Indenture Act is applicable.</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W"/>
      <w:bookmarkEnd w:id="25"/>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DESCRIPTION OF WARRANTS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have filed forms of the warrant agreements and forms of warrant certificates containing the terms of the warrants being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General</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describe in the applicable prospectus supplement the terms of the series of warrants being offered, including, to the extent applicable: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offering price and aggregate number of warrants offered;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55">
                <wp:simplePos x="0" y="0"/>
                <wp:positionH relativeFrom="column">
                  <wp:align>left</wp:align>
                </wp:positionH>
                <wp:positionV relativeFrom="line">
                  <wp:align>top</wp:align>
                </wp:positionV>
                <wp:extent cx="1524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currency for which the warrants may be purchased;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56">
                <wp:simplePos x="0" y="0"/>
                <wp:positionH relativeFrom="column">
                  <wp:align>left</wp:align>
                </wp:positionH>
                <wp:positionV relativeFrom="line">
                  <wp:align>top</wp:align>
                </wp:positionV>
                <wp:extent cx="1524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designation and terms of the securities with which the warrants are issued and the number of warrants issued with each such security or each principal amount of such security;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57">
                <wp:simplePos x="0" y="0"/>
                <wp:positionH relativeFrom="column">
                  <wp:align>left</wp:align>
                </wp:positionH>
                <wp:positionV relativeFrom="line">
                  <wp:align>top</wp:align>
                </wp:positionV>
                <wp:extent cx="1524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the case of warrants to purchase debt securities, the principal amount of debt securities purchasable upon exercise of one warrant and the price at, and currency in which, this principal amount of debt securities may be purchased upon such exercise;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58">
                <wp:simplePos x="0" y="0"/>
                <wp:positionH relativeFrom="column">
                  <wp:align>left</wp:align>
                </wp:positionH>
                <wp:positionV relativeFrom="line">
                  <wp:align>top</wp:align>
                </wp:positionV>
                <wp:extent cx="1524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59">
                <wp:simplePos x="0" y="0"/>
                <wp:positionH relativeFrom="column">
                  <wp:align>left</wp:align>
                </wp:positionH>
                <wp:positionV relativeFrom="line">
                  <wp:align>top</wp:align>
                </wp:positionV>
                <wp:extent cx="1524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effect of any merger, consolidation, sale or other disposition of our business on the warrant agreements and the warrants;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60">
                <wp:simplePos x="0" y="0"/>
                <wp:positionH relativeFrom="column">
                  <wp:align>left</wp:align>
                </wp:positionH>
                <wp:positionV relativeFrom="line">
                  <wp:align>top</wp:align>
                </wp:positionV>
                <wp:extent cx="1524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terms of any rights to redeem or call the warrants;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61">
                <wp:simplePos x="0" y="0"/>
                <wp:positionH relativeFrom="column">
                  <wp:align>left</wp:align>
                </wp:positionH>
                <wp:positionV relativeFrom="line">
                  <wp:align>top</wp:align>
                </wp:positionV>
                <wp:extent cx="1524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provisions for changes to or adjustments in the exercise price or number of securities issuable upon exercise of the warrants;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62">
                <wp:simplePos x="0" y="0"/>
                <wp:positionH relativeFrom="column">
                  <wp:align>left</wp:align>
                </wp:positionH>
                <wp:positionV relativeFrom="line">
                  <wp:align>top</wp:align>
                </wp:positionV>
                <wp:extent cx="1524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dates on which the right to exercise the warrants will commence and expire;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2390" distB="0" distL="254000" distR="0" simplePos="0" locked="0" layoutInCell="1" allowOverlap="1" relativeHeight="263">
                <wp:simplePos x="0" y="0"/>
                <wp:positionH relativeFrom="column">
                  <wp:align>left</wp:align>
                </wp:positionH>
                <wp:positionV relativeFrom="line">
                  <wp:align>top</wp:align>
                </wp:positionV>
                <wp:extent cx="1524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manner in which the warrant agreements and warrants may be modified;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64">
                <wp:simplePos x="0" y="0"/>
                <wp:positionH relativeFrom="column">
                  <wp:align>left</wp:align>
                </wp:positionH>
                <wp:positionV relativeFrom="line">
                  <wp:align>top</wp:align>
                </wp:positionV>
                <wp:extent cx="1524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discussion of material or special U.S. federal income tax considerations of holding or exercising the warrants;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65">
                <wp:simplePos x="0" y="0"/>
                <wp:positionH relativeFrom="column">
                  <wp:align>left</wp:align>
                </wp:positionH>
                <wp:positionV relativeFrom="line">
                  <wp:align>top</wp:align>
                </wp:positionV>
                <wp:extent cx="1524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terms of the securities issuable upon exercise of the warrants;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66">
                <wp:simplePos x="0" y="0"/>
                <wp:positionH relativeFrom="column">
                  <wp:align>left</wp:align>
                </wp:positionH>
                <wp:positionV relativeFrom="line">
                  <wp:align>top</wp:align>
                </wp:positionV>
                <wp:extent cx="1524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other specific terms, preferences, rights or limitations of or restrictions on the warrants.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67">
                <wp:simplePos x="0" y="0"/>
                <wp:positionH relativeFrom="column">
                  <wp:align>left</wp:align>
                </wp:positionH>
                <wp:positionV relativeFrom="line">
                  <wp:align>top</wp:align>
                </wp:positionV>
                <wp:extent cx="1524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152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Before exercising their warrants, holders of warrants will not have any of the rights of holders of the securities purchasable upon such exercise, including: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the case of warrants to purchase common stock or preferred stock, the right to receive dividends, if any, or, payments upon our liquidation, dissolution or winding up or to exercise voting rights, if any;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524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the case of warrants to purchase debt securities, the right to receive payments of principal of, or premium, if any, or interest on, the debt securities purchasable upon exercise or to enforce covenants in the applicable indenture.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524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Exercise of Warrants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Governing Law</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Enforceability of Rights by Holders of Warrants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LOOS"/>
      <w:bookmarkEnd w:id="26"/>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LEGAL OWNERSHIP OF SECURITIES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Book-Entry Holders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Street Name Holders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Legal Holders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Our obligations, as well as the obligations of any applicable trustee or any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 event, we would seek approval only from the legal holders, and not the indirect holders, of the securities. Whether and how the legal holders contact the indirect holders is up to the legal holders.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Special Considerations for Indirect Holders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you hold securities through a bank, broker or other financial institution, either in book-entry form or in street name, you should check with your own institution to find out: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how it handles securities payments and notices;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270">
                <wp:simplePos x="0" y="0"/>
                <wp:positionH relativeFrom="column">
                  <wp:align>left</wp:align>
                </wp:positionH>
                <wp:positionV relativeFrom="line">
                  <wp:align>top</wp:align>
                </wp:positionV>
                <wp:extent cx="1524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it imposes fees or charges;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271">
                <wp:simplePos x="0" y="0"/>
                <wp:positionH relativeFrom="column">
                  <wp:align>left</wp:align>
                </wp:positionH>
                <wp:positionV relativeFrom="line">
                  <wp:align>top</wp:align>
                </wp:positionV>
                <wp:extent cx="1524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how it would handle a request for the holders’ consent, if ever required;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272">
                <wp:simplePos x="0" y="0"/>
                <wp:positionH relativeFrom="column">
                  <wp:align>left</wp:align>
                </wp:positionH>
                <wp:positionV relativeFrom="line">
                  <wp:align>top</wp:align>
                </wp:positionV>
                <wp:extent cx="1524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4"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whether and how you can instruct it to send you securities registered in your own name so you can be a holder, if that is permitted in the future;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8740" distB="0" distL="254000" distR="0" simplePos="0" locked="0" layoutInCell="1" allowOverlap="1" relativeHeight="273">
                <wp:simplePos x="0" y="0"/>
                <wp:positionH relativeFrom="column">
                  <wp:align>left</wp:align>
                </wp:positionH>
                <wp:positionV relativeFrom="line">
                  <wp:align>top</wp:align>
                </wp:positionV>
                <wp:extent cx="1524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how it would exercise rights under the securities if there were a default or other event triggering the need for holders to act to protect their interests;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7470" distB="0" distL="254000" distR="0" simplePos="0" locked="0" layoutInCell="1" allowOverlap="1" relativeHeight="274">
                <wp:simplePos x="0" y="0"/>
                <wp:positionH relativeFrom="column">
                  <wp:align>left</wp:align>
                </wp:positionH>
                <wp:positionV relativeFrom="line">
                  <wp:align>top</wp:align>
                </wp:positionV>
                <wp:extent cx="1524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the securities are in book-entry form, how the depositary’s rules and procedures will affect these matters.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7470" distB="0" distL="254000" distR="0" simplePos="0" locked="0" layoutInCell="1" allowOverlap="1" relativeHeight="275">
                <wp:simplePos x="0" y="0"/>
                <wp:positionH relativeFrom="column">
                  <wp:align>left</wp:align>
                </wp:positionH>
                <wp:positionV relativeFrom="line">
                  <wp:align>top</wp:align>
                </wp:positionV>
                <wp:extent cx="1524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Global Securities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global security is a security that represents one or any other number of individual securities held by a depositary. Generally, all securities represented by the same global securities will have the same terms.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Special Considerations for Global Securities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securities are issued only in the form of a global security, an investor should be aware of the following:</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 investor cannot cause the securities to be registered in his or her name, and cannot obtain non-global certificates for his or her interest in the securities, except in the special situations we describe below;</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7470" distB="0" distL="254000" distR="0" simplePos="0" locked="0" layoutInCell="1" allowOverlap="1" relativeHeight="276">
                <wp:simplePos x="0" y="0"/>
                <wp:positionH relativeFrom="column">
                  <wp:align>left</wp:align>
                </wp:positionH>
                <wp:positionV relativeFrom="line">
                  <wp:align>top</wp:align>
                </wp:positionV>
                <wp:extent cx="1524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2"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 investor will be an indirect holder and must look to his or her own bank or broker for payments on the securities and protection of his or her legal rights relating to the securities, as we describe above;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7470" distB="0" distL="254000" distR="0" simplePos="0" locked="0" layoutInCell="1" allowOverlap="1" relativeHeight="277">
                <wp:simplePos x="0" y="0"/>
                <wp:positionH relativeFrom="column">
                  <wp:align>left</wp:align>
                </wp:positionH>
                <wp:positionV relativeFrom="line">
                  <wp:align>top</wp:align>
                </wp:positionV>
                <wp:extent cx="1524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36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 investor may not be able to sell interests in the securities to some insurance companies and to other institutions that are required by law to own their securities in non-book-entry form;</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0" distB="0" distL="254000" distR="0" simplePos="0" locked="0" layoutInCell="1" allowOverlap="1" relativeHeight="278">
                <wp:simplePos x="0" y="0"/>
                <wp:positionH relativeFrom="column">
                  <wp:align>left</wp:align>
                </wp:positionH>
                <wp:positionV relativeFrom="line">
                  <wp:posOffset>635</wp:posOffset>
                </wp:positionV>
                <wp:extent cx="1524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 investor may not be able to pledge his or her interest in a global security in circumstances where certificates representing the securities must be delivered to the lender or other beneficiary of the pledge in order for the pledge to be effective;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79">
                <wp:simplePos x="0" y="0"/>
                <wp:positionH relativeFrom="column">
                  <wp:align>left</wp:align>
                </wp:positionH>
                <wp:positionV relativeFrom="line">
                  <wp:align>top</wp:align>
                </wp:positionV>
                <wp:extent cx="1524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depositary’s policies, which may change from time to time, will govern payments, transfers, exchanges and other matters relating to an investor’s interest in a global security;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80">
                <wp:simplePos x="0" y="0"/>
                <wp:positionH relativeFrom="column">
                  <wp:align>left</wp:align>
                </wp:positionH>
                <wp:positionV relativeFrom="line">
                  <wp:align>top</wp:align>
                </wp:positionV>
                <wp:extent cx="1524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and any applicable trustee have no responsibility for any aspect of the depositary’s actions or for its records of ownership interests in a global security, nor do we or any applicable trustee supervise the depositary in any way;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81">
                <wp:simplePos x="0" y="0"/>
                <wp:positionH relativeFrom="column">
                  <wp:align>left</wp:align>
                </wp:positionH>
                <wp:positionV relativeFrom="line">
                  <wp:align>top</wp:align>
                </wp:positionV>
                <wp:extent cx="1524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depositary may, and we understand that DTC will, require that those who purchase and sell interests in a global security within its book-entry system use immediately available funds, and your bank or broker may require you to do so as well;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524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financial institutions that participate in the depositary’s book-entry system, and through which an investor holds its interest in a global security, may also have their own policies affecting payments, transfers, exchanges, notices and other matters relating to the securities.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524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There may be more than one financial intermediary in the chain of ownership for an investor. We do not monitor and are not responsible for the actions of any of those intermediaries.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Special Situations When a Global Security Will Be Terminated</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Unless we provide otherwise in the applicable prospectus supplement, a global security will terminate when the following special situations occur: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the depositary notifies us that it is unwilling, unable or no longer qualified to continue as depositary for that global security and we do not appoint another institution to act as depositary within 90 days;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1524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we notify any applicable trustee that we wish to terminate that global security;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524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an event of default has occurred with regard to securities represented by that global security and has not been cured or waived.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524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POD"/>
      <w:bookmarkEnd w:id="27"/>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PLAN OF DISTRIBUTION</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may sell the securities to or through underwriters or dealers, through agents, or directly to one or more purchasers. We may distribute securities from time to time in one or more transactions: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at a fixed price or prices, which may be changed;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87">
                <wp:simplePos x="0" y="0"/>
                <wp:positionH relativeFrom="column">
                  <wp:align>left</wp:align>
                </wp:positionH>
                <wp:positionV relativeFrom="line">
                  <wp:align>top</wp:align>
                </wp:positionV>
                <wp:extent cx="1524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at market prices prevailing at the time of sale;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88">
                <wp:simplePos x="0" y="0"/>
                <wp:positionH relativeFrom="column">
                  <wp:align>left</wp:align>
                </wp:positionH>
                <wp:positionV relativeFrom="line">
                  <wp:align>top</wp:align>
                </wp:positionV>
                <wp:extent cx="1524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at prices related to such prevailing market prices; 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89">
                <wp:simplePos x="0" y="0"/>
                <wp:positionH relativeFrom="column">
                  <wp:align>left</wp:align>
                </wp:positionH>
                <wp:positionV relativeFrom="line">
                  <wp:align>top</wp:align>
                </wp:positionV>
                <wp:extent cx="1524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at negotiated prices.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90">
                <wp:simplePos x="0" y="0"/>
                <wp:positionH relativeFrom="column">
                  <wp:align>left</wp:align>
                </wp:positionH>
                <wp:positionV relativeFrom="line">
                  <wp:align>top</wp:align>
                </wp:positionV>
                <wp:extent cx="1524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on or through the facilities of The Nasdaq Capital Market or any other securities exchange or quotation or trading service on which such securities may be listed, quoted or traded at the time of sale; and/or</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91">
                <wp:simplePos x="0" y="0"/>
                <wp:positionH relativeFrom="column">
                  <wp:align>left</wp:align>
                </wp:positionH>
                <wp:positionV relativeFrom="line">
                  <wp:align>top</wp:align>
                </wp:positionV>
                <wp:extent cx="1524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to or through a market maker other than on The Nasdaq Capital Market or such other securities exchanges or quotation or trading services.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92">
                <wp:simplePos x="0" y="0"/>
                <wp:positionH relativeFrom="column">
                  <wp:align>left</wp:align>
                </wp:positionH>
                <wp:positionV relativeFrom="line">
                  <wp:align>top</wp:align>
                </wp:positionV>
                <wp:extent cx="1524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Such at-the-market offerings, if any, may be conducted by underwriters acting as principal or agent.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 prospectus supplement or supplements (and any related free writing prospectus that we may authorize to be provided to you) will describe the terms of the offering of the securities, including, to the extent applicable: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name or names of any underwriters, dealers or agents, if any;</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93">
                <wp:simplePos x="0" y="0"/>
                <wp:positionH relativeFrom="column">
                  <wp:align>left</wp:align>
                </wp:positionH>
                <wp:positionV relativeFrom="line">
                  <wp:align>top</wp:align>
                </wp:positionV>
                <wp:extent cx="1524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purchase price of the securities and the proceeds we will receive from the sale;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524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options pursuant to which underwriters may purchase additional securities from us;</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524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6"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agency fees or underwriting discounts and other items constituting agents’ or underwriters’ compensation;</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3660" distB="0" distL="254000" distR="0" simplePos="0" locked="0" layoutInCell="1" allowOverlap="1" relativeHeight="296">
                <wp:simplePos x="0" y="0"/>
                <wp:positionH relativeFrom="column">
                  <wp:align>left</wp:align>
                </wp:positionH>
                <wp:positionV relativeFrom="line">
                  <wp:align>top</wp:align>
                </wp:positionV>
                <wp:extent cx="1524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public offering price;</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97">
                <wp:simplePos x="0" y="0"/>
                <wp:positionH relativeFrom="column">
                  <wp:align>left</wp:align>
                </wp:positionH>
                <wp:positionV relativeFrom="line">
                  <wp:align>top</wp:align>
                </wp:positionV>
                <wp:extent cx="1524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discounts or concessions allowed or reallowed or paid to dealers;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98">
                <wp:simplePos x="0" y="0"/>
                <wp:positionH relativeFrom="column">
                  <wp:align>left</wp:align>
                </wp:positionH>
                <wp:positionV relativeFrom="line">
                  <wp:align>top</wp:align>
                </wp:positionV>
                <wp:extent cx="1524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18" w:after="0"/>
        <w:ind w:left="203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securities exchange or market on which the securities may be listed.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4930" distB="0" distL="254000" distR="0" simplePos="0" locked="0" layoutInCell="1" allowOverlap="1" relativeHeight="299">
                <wp:simplePos x="0" y="0"/>
                <wp:positionH relativeFrom="column">
                  <wp:align>left</wp:align>
                </wp:positionH>
                <wp:positionV relativeFrom="line">
                  <wp:align>top</wp:align>
                </wp:positionV>
                <wp:extent cx="1524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Only underwriters named in the prospectus supplement will be underwriters of the securities offered by the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3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We may sell securities directly or through agents we designate from time to time. We will name any agent involved in the offering and sale of securities, and we will describe any commissions and other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360"/>
        <w:ind w:left="1393" w:right="0" w:hanging="0"/>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compensation we will pay the agent in the prospectus supplement. Unless the prospectus supplement states otherwise, our agent will act on a best-efforts basis for the period of its appointment.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Capital Market.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Any underwriter may engage in overallotment, stabilizing transactions, short covering transactions and penalty bids in accordance with Rule 103 of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Any agents and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LEMA"/>
      <w:bookmarkEnd w:id="28"/>
      <w:r>
        <w:rPr>
          <w:rFonts w:ascii="calibri;arial;sans-serif" w:hAnsi="calibri;arial;sans-serif"/>
          <w:b w:val="false"/>
          <w:i w:val="false"/>
          <w:caps w:val="false"/>
          <w:smallCaps w:val="false"/>
          <w:color w:val="596E80"/>
          <w:sz w:val="16"/>
        </w:rPr>
        <w:t>​</w:t>
      </w:r>
      <w:bookmarkStart w:id="29" w:name="tEXP"/>
      <w:bookmarkEnd w:id="29"/>
      <w:r>
        <w:rPr>
          <w:rFonts w:ascii="calibri;arial;sans-serif" w:hAnsi="calibri;arial;sans-serif"/>
          <w:b w:val="false"/>
          <w:i w:val="false"/>
          <w:caps w:val="false"/>
          <w:smallCaps w:val="false"/>
          <w:color w:val="596E80"/>
          <w:sz w:val="16"/>
        </w:rPr>
        <w:t>​</w:t>
      </w:r>
      <w:bookmarkStart w:id="30" w:name="tWYCF"/>
      <w:bookmarkEnd w:id="30"/>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4520"/>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LEGAL MATTERS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Unless otherwise indicated in the applicable prospectus supplement, certain legal matters in connection with the offering and the validity of the securities offered by this prospectus, and any prospectus supplement thereto, will be passed upon by Cooley LLP, Chicago, Illinois. Additional legal matters may be passed upon for us or any underwriters, dealers or agents, by counsel that we will name in the applicable prospectus supplement.</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EXPERTS</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The consolidated financial statements of Outlook Therapeutics, Inc. as of September 30, 2023 and 2022, and for the years then ended, have been incorporated by reference herein in reliance upon the report of KPMG LLP, independent registered public accounting firm, incorporated by reference herein, and upon the authority of said firm as experts in accounting and auditing. The audit report covering the September 30, 2023 consolidated financial statements contains an explanatory paragraph that states that the Company has incurred recurring losses and negative cash flows from operations and has an accumulated deficit, that raise substantial doubt about its ability to continue as a going concern. The consolidated financial statements do not include any adjustments that might result from the outcome of that uncertainty.</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WHERE YOU CAN FIND MORE INFORMATION</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information contained in this prospectus or incorporated by reference into this prospectus. We have not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file annual, quarterly and current reports, proxy statements and other information with the SEC. Our SEC filings are available to the public at the SEC’s website at http://www.sec.gov.</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We maintain a website at http://www.outlooktherapeutics.com. Information contained in or accessible through our website does not constitute a part of this prospectus. </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IOCI"/>
      <w:bookmarkEnd w:id="31"/>
      <w:r>
        <w:rPr>
          <w:rFonts w:ascii="calibri;arial;sans-serif" w:hAnsi="calibri;arial;sans-serif"/>
          <w:b w:val="false"/>
          <w:i w:val="false"/>
          <w:caps w:val="false"/>
          <w:smallCaps w:val="false"/>
          <w:color w:val="596E80"/>
          <w:sz w:val="16"/>
        </w:rPr>
        <w:t xml:space="preserve">​ </w:t>
      </w:r>
    </w:p>
    <w:p>
      <w:pPr>
        <w:pStyle w:val="TextBody"/>
        <w:bidi w:val="0"/>
        <w:spacing w:lineRule="atLeast" w:line="240" w:before="34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20" w:after="2360"/>
        <w:ind w:left="1393" w:right="0" w:hanging="0"/>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color w:val="596E80"/>
          <w:sz w:val="20"/>
        </w:rPr>
        <w:t>INCORPORATION OF CERTAIN INFORMATION BY REFERENCE</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 xml:space="preserve">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and documents listed below that we have filed with the SEC (Commission File No. 001-37759): </w:t>
      </w:r>
    </w:p>
    <w:p>
      <w:pPr>
        <w:pStyle w:val="TextBody"/>
        <w:bidi w:val="0"/>
        <w:spacing w:lineRule="atLeast" w:line="240" w:before="120" w:after="0"/>
        <w:ind w:left="2033" w:right="0" w:hanging="0"/>
        <w:jc w:val="left"/>
        <w:rPr/>
      </w:pPr>
      <w:r>
        <w:rPr>
          <w:rFonts w:ascii="Times New Roman;Times;serif" w:hAnsi="Times New Roman;Times;serif"/>
          <w:b w:val="false"/>
          <w:i w:val="false"/>
          <w:caps w:val="false"/>
          <w:smallCaps w:val="false"/>
          <w:color w:val="596E80"/>
          <w:sz w:val="20"/>
        </w:rPr>
        <w:t xml:space="preserve">our Annual Report on Form 10-K for the fiscal year ended September 30, 2023, filed with the SEC on </w:t>
      </w:r>
      <w:hyperlink r:id="rId41">
        <w:r>
          <w:rPr>
            <w:rStyle w:val="InternetLink"/>
          </w:rPr>
          <w:t>December 22, 2023</w:t>
        </w:r>
      </w:hyperlink>
      <w:r>
        <w:rPr>
          <w:rFonts w:ascii="Times New Roman;Times;serif" w:hAnsi="Times New Roman;Times;serif"/>
          <w:b w:val="false"/>
          <w:i w:val="false"/>
          <w:caps w:val="false"/>
          <w:smallCaps w:val="false"/>
          <w:color w:val="596E80"/>
          <w:sz w:val="20"/>
        </w:rPr>
        <w:t xml:space="preserve">, or the 2023 Form 10-K, and amended on </w:t>
      </w:r>
      <w:hyperlink r:id="rId42">
        <w:r>
          <w:rPr>
            <w:rStyle w:val="InternetLink"/>
          </w:rPr>
          <w:t>January 24, 2024</w:t>
        </w:r>
      </w:hyperlink>
      <w:r>
        <w:rPr>
          <w:rFonts w:ascii="Times New Roman;Times;serif" w:hAnsi="Times New Roman;Times;serif"/>
          <w:b w:val="false"/>
          <w:i w:val="false"/>
          <w:caps w:val="false"/>
          <w:smallCaps w:val="false"/>
          <w:color w:val="596E80"/>
          <w:sz w:val="20"/>
        </w:rPr>
        <w: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300">
                <wp:simplePos x="0" y="0"/>
                <wp:positionH relativeFrom="column">
                  <wp:align>left</wp:align>
                </wp:positionH>
                <wp:positionV relativeFrom="line">
                  <wp:align>top</wp:align>
                </wp:positionV>
                <wp:extent cx="1524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pPr>
      <w:r>
        <w:rPr>
          <w:rFonts w:ascii="Times New Roman;Times;serif" w:hAnsi="Times New Roman;Times;serif"/>
          <w:b w:val="false"/>
          <w:i w:val="false"/>
          <w:caps w:val="false"/>
          <w:smallCaps w:val="false"/>
          <w:color w:val="596E80"/>
          <w:sz w:val="20"/>
        </w:rPr>
        <w:t xml:space="preserve">our Quarterly Report on Form 10-Q for the quarter ended December 31, 2023 filed with the SEC on </w:t>
      </w:r>
      <w:hyperlink r:id="rId43">
        <w:r>
          <w:rPr>
            <w:rStyle w:val="InternetLink"/>
          </w:rPr>
          <w:t>February 14, 2024</w:t>
        </w:r>
      </w:hyperlink>
      <w:r>
        <w:rPr>
          <w:rFonts w:ascii="Times New Roman;Times;serif" w:hAnsi="Times New Roman;Times;serif"/>
          <w:b w:val="false"/>
          <w:i w:val="false"/>
          <w:caps w:val="false"/>
          <w:smallCaps w:val="false"/>
          <w:color w:val="596E80"/>
          <w:sz w:val="20"/>
        </w:rPr>
        <w:t>;</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301">
                <wp:simplePos x="0" y="0"/>
                <wp:positionH relativeFrom="column">
                  <wp:align>left</wp:align>
                </wp:positionH>
                <wp:positionV relativeFrom="line">
                  <wp:align>top</wp:align>
                </wp:positionV>
                <wp:extent cx="1524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pPr>
      <w:r>
        <w:rPr>
          <w:rFonts w:ascii="Times New Roman;Times;serif" w:hAnsi="Times New Roman;Times;serif"/>
          <w:b w:val="false"/>
          <w:i w:val="false"/>
          <w:caps w:val="false"/>
          <w:smallCaps w:val="false"/>
          <w:color w:val="596E80"/>
          <w:sz w:val="20"/>
        </w:rPr>
        <w:t xml:space="preserve">our Current Reports on Form 8-K, filed with the SEC on </w:t>
      </w:r>
      <w:hyperlink r:id="rId44">
        <w:r>
          <w:rPr>
            <w:rStyle w:val="InternetLink"/>
          </w:rPr>
          <w:t>October 20, 2023</w:t>
        </w:r>
      </w:hyperlink>
      <w:r>
        <w:rPr>
          <w:rFonts w:ascii="Times New Roman;Times;serif" w:hAnsi="Times New Roman;Times;serif"/>
          <w:b w:val="false"/>
          <w:i w:val="false"/>
          <w:caps w:val="false"/>
          <w:smallCaps w:val="false"/>
          <w:color w:val="596E80"/>
          <w:sz w:val="20"/>
        </w:rPr>
        <w:t xml:space="preserve">, </w:t>
      </w:r>
      <w:hyperlink r:id="rId45">
        <w:r>
          <w:rPr>
            <w:rStyle w:val="InternetLink"/>
          </w:rPr>
          <w:t>November 2, 2023</w:t>
        </w:r>
      </w:hyperlink>
      <w:r>
        <w:rPr>
          <w:rFonts w:ascii="Times New Roman;Times;serif" w:hAnsi="Times New Roman;Times;serif"/>
          <w:b w:val="false"/>
          <w:i w:val="false"/>
          <w:caps w:val="false"/>
          <w:smallCaps w:val="false"/>
          <w:color w:val="596E80"/>
          <w:sz w:val="20"/>
        </w:rPr>
        <w:t xml:space="preserve">, </w:t>
      </w:r>
      <w:hyperlink r:id="rId46">
        <w:r>
          <w:rPr>
            <w:rStyle w:val="InternetLink"/>
          </w:rPr>
          <w:t>December 6, 2023</w:t>
        </w:r>
      </w:hyperlink>
      <w:r>
        <w:rPr>
          <w:rFonts w:ascii="Times New Roman;Times;serif" w:hAnsi="Times New Roman;Times;serif"/>
          <w:b w:val="false"/>
          <w:i w:val="false"/>
          <w:caps w:val="false"/>
          <w:smallCaps w:val="false"/>
          <w:color w:val="596E80"/>
          <w:sz w:val="20"/>
        </w:rPr>
        <w:t xml:space="preserve">, </w:t>
      </w:r>
      <w:hyperlink r:id="rId47">
        <w:r>
          <w:rPr>
            <w:rStyle w:val="InternetLink"/>
          </w:rPr>
          <w:t>January 24, 2024</w:t>
        </w:r>
      </w:hyperlink>
      <w:r>
        <w:rPr>
          <w:rFonts w:ascii="Times New Roman;Times;serif" w:hAnsi="Times New Roman;Times;serif"/>
          <w:b w:val="false"/>
          <w:i w:val="false"/>
          <w:caps w:val="false"/>
          <w:smallCaps w:val="false"/>
          <w:color w:val="596E80"/>
          <w:sz w:val="20"/>
        </w:rPr>
        <w:t xml:space="preserve">, </w:t>
      </w:r>
      <w:hyperlink r:id="rId48">
        <w:r>
          <w:rPr>
            <w:rStyle w:val="InternetLink"/>
          </w:rPr>
          <w:t>March 7, 2024</w:t>
        </w:r>
      </w:hyperlink>
      <w:r>
        <w:rPr>
          <w:rFonts w:ascii="Times New Roman;Times;serif" w:hAnsi="Times New Roman;Times;serif"/>
          <w:b w:val="false"/>
          <w:i w:val="false"/>
          <w:caps w:val="false"/>
          <w:smallCaps w:val="false"/>
          <w:color w:val="596E80"/>
          <w:sz w:val="20"/>
        </w:rPr>
        <w:t xml:space="preserve">, </w:t>
      </w:r>
      <w:hyperlink r:id="rId49">
        <w:r>
          <w:rPr>
            <w:rStyle w:val="InternetLink"/>
          </w:rPr>
          <w:t>March 18, 2024</w:t>
        </w:r>
      </w:hyperlink>
      <w:r>
        <w:rPr>
          <w:rFonts w:ascii="Times New Roman;Times;serif" w:hAnsi="Times New Roman;Times;serif"/>
          <w:b w:val="false"/>
          <w:i w:val="false"/>
          <w:caps w:val="false"/>
          <w:smallCaps w:val="false"/>
          <w:color w:val="596E80"/>
          <w:sz w:val="20"/>
        </w:rPr>
        <w:t xml:space="preserve"> and </w:t>
      </w:r>
      <w:hyperlink r:id="rId50">
        <w:r>
          <w:rPr>
            <w:rStyle w:val="InternetLink"/>
          </w:rPr>
          <w:t>March 26, 2024</w:t>
        </w:r>
      </w:hyperlink>
      <w:r>
        <w:rPr>
          <w:rFonts w:ascii="Times New Roman;Times;serif" w:hAnsi="Times New Roman;Times;serif"/>
          <w:b w:val="false"/>
          <w:i w:val="false"/>
          <w:caps w:val="false"/>
          <w:smallCaps w:val="false"/>
          <w:color w:val="596E80"/>
          <w:sz w:val="20"/>
        </w:rPr>
        <w:t>, to the extent the information in such reports is filed and not furnished; and</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302">
                <wp:simplePos x="0" y="0"/>
                <wp:positionH relativeFrom="column">
                  <wp:align>left</wp:align>
                </wp:positionH>
                <wp:positionV relativeFrom="line">
                  <wp:align>top</wp:align>
                </wp:positionV>
                <wp:extent cx="1524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0"/>
        <w:ind w:left="2033" w:right="0" w:hanging="0"/>
        <w:jc w:val="left"/>
        <w:rPr/>
      </w:pPr>
      <w:r>
        <w:rPr>
          <w:rFonts w:ascii="Times New Roman;Times;serif" w:hAnsi="Times New Roman;Times;serif"/>
          <w:b w:val="false"/>
          <w:i w:val="false"/>
          <w:caps w:val="false"/>
          <w:smallCaps w:val="false"/>
          <w:color w:val="596E80"/>
          <w:sz w:val="20"/>
        </w:rPr>
        <w:t xml:space="preserve">the description of our common stock set forth in our registration statement on Form 8-A, filed with the SEC on </w:t>
      </w:r>
      <w:hyperlink r:id="rId51">
        <w:r>
          <w:rPr>
            <w:rStyle w:val="InternetLink"/>
          </w:rPr>
          <w:t>April 29, 2016</w:t>
        </w:r>
      </w:hyperlink>
      <w:r>
        <w:rPr>
          <w:rFonts w:ascii="Times New Roman;Times;serif" w:hAnsi="Times New Roman;Times;serif"/>
          <w:b w:val="false"/>
          <w:i w:val="false"/>
          <w:caps w:val="false"/>
          <w:smallCaps w:val="false"/>
          <w:color w:val="596E80"/>
          <w:sz w:val="20"/>
        </w:rPr>
        <w:t xml:space="preserve">, as amended on </w:t>
      </w:r>
      <w:hyperlink r:id="rId52">
        <w:r>
          <w:rPr>
            <w:rStyle w:val="InternetLink"/>
          </w:rPr>
          <w:t>May 11, 2016</w:t>
        </w:r>
      </w:hyperlink>
      <w:r>
        <w:rPr>
          <w:rFonts w:ascii="Times New Roman;Times;serif" w:hAnsi="Times New Roman;Times;serif"/>
          <w:b w:val="false"/>
          <w:i w:val="false"/>
          <w:caps w:val="false"/>
          <w:smallCaps w:val="false"/>
          <w:color w:val="596E80"/>
          <w:sz w:val="20"/>
        </w:rPr>
        <w:t xml:space="preserve">, including any further amendments thereto or reports filed for the purposes of updating this description, including </w:t>
      </w:r>
      <w:hyperlink r:id="rId53">
        <w:r>
          <w:rPr>
            <w:rStyle w:val="InternetLink"/>
          </w:rPr>
          <w:t>Exhibit 4.1 of the 2023</w:t>
        </w:r>
      </w:hyperlink>
      <w:r>
        <w:rPr>
          <w:rFonts w:ascii="Times New Roman;Times;serif" w:hAnsi="Times New Roman;Times;serif"/>
          <w:b w:val="false"/>
          <w:i w:val="false"/>
          <w:caps w:val="false"/>
          <w:smallCaps w:val="false"/>
          <w:color w:val="596E80"/>
          <w:sz w:val="20"/>
        </w:rPr>
        <w:t xml:space="preserve"> Form 10-K.</w:t>
      </w:r>
      <w:r>
        <w:rPr>
          <w:rFonts w:ascii="Times New Roman;Times;serif" w:hAnsi="Times New Roman;Times;serif"/>
          <w:b w:val="false"/>
          <w:i w:val="false"/>
          <w:caps w:val="false"/>
          <w:smallCaps w:val="false"/>
          <w:color w:val="596E80"/>
          <w:spacing w:val="4"/>
          <w:sz w:val="20"/>
        </w:rPr>
        <w:t xml:space="preserve"> </w:t>
      </w:r>
      <w:r>
        <mc:AlternateContent>
          <mc:Choice Requires="wps">
            <w:drawing>
              <wp:anchor behindDoc="0" distT="76200" distB="0" distL="254000" distR="0" simplePos="0" locked="0" layoutInCell="1" allowOverlap="1" relativeHeight="303">
                <wp:simplePos x="0" y="0"/>
                <wp:positionH relativeFrom="column">
                  <wp:align>left</wp:align>
                </wp:positionH>
                <wp:positionV relativeFrom="line">
                  <wp:align>top</wp:align>
                </wp:positionV>
                <wp:extent cx="1524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596E80"/>
        </w:rPr>
      </w:pPr>
      <w:r>
        <w:rPr>
          <w:caps w:val="false"/>
          <w:smallCaps w:val="false"/>
          <w:color w:val="596E80"/>
        </w:rPr>
        <w:t>​</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of which this prospectus is a part but prior to the termination of all offerings of securities covered by this prospectus (Commission File No. 001-37759).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r>
        <w:rPr>
          <w:rFonts w:ascii="Times New Roman;Times;serif" w:hAnsi="Times New Roman;Times;serif"/>
          <w:b w:val="false"/>
          <w:i w:val="false"/>
          <w:caps w:val="false"/>
          <w:smallCaps w:val="false"/>
          <w:color w:val="596E80"/>
          <w:spacing w:val="4"/>
          <w:sz w:val="20"/>
        </w:rPr>
        <w:t xml:space="preserve"> </w:t>
      </w:r>
    </w:p>
    <w:p>
      <w:pPr>
        <w:pStyle w:val="TextBody"/>
        <w:bidi w:val="0"/>
        <w:spacing w:lineRule="atLeast" w:line="240" w:before="120" w:after="283"/>
        <w:jc w:val="left"/>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 Outlook Therapeutics, Inc., Attention: Corporate Secretary, 485 Route 1 South, Building F, Suite 320, Iselin, New Jersey 08830. Our phone number is (609) 619-3990. You may also view the documents that we file with the SEC and incorporate by reference in this prospectus on our corporate website at www.outlooktherapeutics.com. The information on our website is not incorporated by reference and is not a part of this prospectus.</w:t>
      </w:r>
    </w:p>
    <w:p>
      <w:pPr>
        <w:pStyle w:val="TextBody"/>
        <w:bidi w:val="0"/>
        <w:spacing w:lineRule="atLeast" w:line="240" w:before="100" w:after="283"/>
        <w:ind w:left="1393" w:right="0" w:hanging="0"/>
        <w:jc w:val="center"/>
        <w:rPr>
          <w:caps w:val="false"/>
          <w:smallCaps w:val="false"/>
          <w:color w:val="596E80"/>
        </w:rPr>
      </w:pPr>
      <w:r>
        <w:rPr>
          <w:caps w:val="false"/>
          <w:smallCaps w:val="false"/>
          <w:color w:val="596E80"/>
        </w:rPr>
        <w:t>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596E80"/>
          <w:sz w:val="20"/>
        </w:rPr>
      </w:pPr>
      <w:r>
        <w:rPr>
          <w:rFonts w:ascii="Times New Roman;Times;serif" w:hAnsi="Times New Roman;Times;serif"/>
          <w:b w:val="false"/>
          <w:i w:val="false"/>
          <w:caps w:val="false"/>
          <w:smallCaps w:val="false"/>
          <w:color w:val="596E80"/>
          <w:sz w:val="20"/>
        </w:rPr>
        <w:t>30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596E80"/>
          <w:sz w:val="16"/>
        </w:rPr>
        <w:t xml:space="preserve"> </w:t>
      </w:r>
    </w:p>
    <w:p>
      <w:pPr>
        <w:pStyle w:val="TextBody"/>
        <w:bidi w:val="0"/>
        <w:spacing w:before="1920" w:after="283"/>
        <w:ind w:left="1393" w:right="0" w:hanging="0"/>
        <w:jc w:val="center"/>
        <w:rPr>
          <w:caps w:val="false"/>
          <w:smallCaps w:val="false"/>
          <w:color w:val="596E80"/>
        </w:rPr>
      </w:pPr>
      <w:r>
        <w:rPr>
          <w:caps w:val="false"/>
          <w:smallCaps w:val="false"/>
          <w:color w:val="596E80"/>
        </w:rPr>
        <w:drawing>
          <wp:inline distT="0" distB="0" distL="0" distR="0">
            <wp:extent cx="3429000" cy="942975"/>
            <wp:effectExtent l="0" t="0" r="0" b="0"/>
            <wp:docPr id="30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3" descr=""/>
                    <pic:cNvPicPr>
                      <a:picLocks noChangeAspect="1" noChangeArrowheads="1"/>
                    </pic:cNvPicPr>
                  </pic:nvPicPr>
                  <pic:blipFill>
                    <a:blip r:embed="rId54"/>
                    <a:stretch>
                      <a:fillRect/>
                    </a:stretch>
                  </pic:blipFill>
                  <pic:spPr bwMode="auto">
                    <a:xfrm>
                      <a:off x="0" y="0"/>
                      <a:ext cx="3429000" cy="942975"/>
                    </a:xfrm>
                    <a:prstGeom prst="rect">
                      <a:avLst/>
                    </a:prstGeom>
                  </pic:spPr>
                </pic:pic>
              </a:graphicData>
            </a:graphic>
          </wp:inline>
        </w:drawing>
      </w:r>
      <w:r>
        <w:rPr>
          <w:caps w:val="false"/>
          <w:smallCaps w:val="false"/>
          <w:color w:val="596E80"/>
        </w:rPr>
        <w:t xml:space="preserve"> </w:t>
      </w:r>
    </w:p>
    <w:p>
      <w:pPr>
        <w:pStyle w:val="TextBody"/>
        <w:bidi w:val="0"/>
        <w:spacing w:lineRule="atLeast" w:line="360" w:before="340" w:after="283"/>
        <w:jc w:val="center"/>
        <w:rPr>
          <w:rFonts w:ascii="Times New Roman;Times;serif" w:hAnsi="Times New Roman;Times;serif"/>
          <w:b/>
          <w:i w:val="false"/>
          <w:caps w:val="false"/>
          <w:smallCaps w:val="false"/>
          <w:color w:val="596E80"/>
          <w:sz w:val="32"/>
        </w:rPr>
      </w:pPr>
      <w:r>
        <w:rPr>
          <w:rFonts w:ascii="Times New Roman;Times;serif" w:hAnsi="Times New Roman;Times;serif"/>
          <w:b/>
          <w:i w:val="false"/>
          <w:caps w:val="false"/>
          <w:smallCaps w:val="false"/>
          <w:color w:val="596E80"/>
          <w:sz w:val="32"/>
        </w:rPr>
        <w:t>55,555,556 Shares of Common Stock</w:t>
      </w:r>
      <w:r>
        <w:rPr>
          <w:rFonts w:ascii="Times New Roman;Times;serif" w:hAnsi="Times New Roman;Times;serif"/>
          <w:b/>
          <w:i w:val="false"/>
          <w:caps w:val="false"/>
          <w:smallCaps w:val="false"/>
          <w:color w:val="596E80"/>
          <w:spacing w:val="6"/>
          <w:sz w:val="32"/>
        </w:rPr>
        <w:t xml:space="preserve"> </w:t>
      </w:r>
    </w:p>
    <w:p>
      <w:pPr>
        <w:pStyle w:val="TextBody"/>
        <w:bidi w:val="0"/>
        <w:spacing w:lineRule="atLeast" w:line="360" w:before="120" w:after="283"/>
        <w:jc w:val="center"/>
        <w:rPr>
          <w:rFonts w:ascii="Times New Roman;Times;serif" w:hAnsi="Times New Roman;Times;serif"/>
          <w:b/>
          <w:i w:val="false"/>
          <w:caps w:val="false"/>
          <w:smallCaps w:val="false"/>
          <w:color w:val="596E80"/>
          <w:sz w:val="32"/>
        </w:rPr>
      </w:pPr>
      <w:r>
        <w:rPr>
          <w:rFonts w:ascii="Times New Roman;Times;serif" w:hAnsi="Times New Roman;Times;serif"/>
          <w:b/>
          <w:i w:val="false"/>
          <w:caps w:val="false"/>
          <w:smallCaps w:val="false"/>
          <w:color w:val="596E80"/>
          <w:sz w:val="32"/>
        </w:rPr>
        <w:t>Warrants to Purchase 55,555,556 Shares of Common Stock</w:t>
      </w:r>
      <w:r>
        <w:rPr>
          <w:rFonts w:ascii="Times New Roman;Times;serif" w:hAnsi="Times New Roman;Times;serif"/>
          <w:b/>
          <w:i w:val="false"/>
          <w:caps w:val="false"/>
          <w:smallCaps w:val="false"/>
          <w:color w:val="596E80"/>
          <w:spacing w:val="6"/>
          <w:sz w:val="32"/>
        </w:rPr>
        <w:t xml:space="preserve"> </w:t>
      </w:r>
    </w:p>
    <w:p>
      <w:pPr>
        <w:pStyle w:val="TextBody"/>
        <w:bidi w:val="0"/>
        <w:spacing w:lineRule="atLeast" w:line="360" w:before="2400" w:after="283"/>
        <w:jc w:val="center"/>
        <w:rPr>
          <w:rFonts w:ascii="Times New Roman;Times;serif" w:hAnsi="Times New Roman;Times;serif"/>
          <w:b/>
          <w:i w:val="false"/>
          <w:caps w:val="false"/>
          <w:smallCaps w:val="false"/>
          <w:color w:val="596E80"/>
          <w:sz w:val="32"/>
        </w:rPr>
      </w:pPr>
      <w:r>
        <w:rPr>
          <w:rFonts w:ascii="Times New Roman;Times;serif" w:hAnsi="Times New Roman;Times;serif"/>
          <w:b/>
          <w:i w:val="false"/>
          <w:caps/>
          <w:color w:val="596E80"/>
          <w:sz w:val="32"/>
        </w:rPr>
        <w:t>PROSPECTUS SUPPLEMENT</w:t>
      </w:r>
      <w:r>
        <w:rPr>
          <w:rFonts w:ascii="Times New Roman;Times;serif" w:hAnsi="Times New Roman;Times;serif"/>
          <w:b/>
          <w:i w:val="false"/>
          <w:caps w:val="false"/>
          <w:smallCaps w:val="false"/>
          <w:color w:val="596E80"/>
          <w:spacing w:val="6"/>
          <w:sz w:val="32"/>
        </w:rPr>
        <w:t xml:space="preserve"> </w:t>
      </w:r>
    </w:p>
    <w:p>
      <w:pPr>
        <w:pStyle w:val="TextBody"/>
        <w:bidi w:val="0"/>
        <w:spacing w:lineRule="atLeast" w:line="240" w:before="2400" w:after="283"/>
        <w:jc w:val="center"/>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Joint Bookrunning Managers</w:t>
      </w:r>
      <w:r>
        <w:rPr>
          <w:rFonts w:ascii="Times New Roman;Times;serif" w:hAnsi="Times New Roman;Times;serif"/>
          <w:b/>
          <w:i/>
          <w:caps w:val="false"/>
          <w:smallCaps w:val="false"/>
          <w:color w:val="596E80"/>
          <w:spacing w:val="4"/>
          <w:sz w:val="20"/>
        </w:rPr>
        <w:t xml:space="preserve"> </w:t>
      </w:r>
    </w:p>
    <w:tbl>
      <w:tblPr>
        <w:tblW w:w="2553" w:type="dxa"/>
        <w:jc w:val="left"/>
        <w:tblInd w:w="1393" w:type="dxa"/>
        <w:tblLayout w:type="fixed"/>
        <w:tblCellMar>
          <w:top w:w="0" w:type="dxa"/>
          <w:left w:w="0" w:type="dxa"/>
          <w:bottom w:w="0" w:type="dxa"/>
          <w:right w:w="0" w:type="dxa"/>
        </w:tblCellMar>
      </w:tblPr>
      <w:tblGrid>
        <w:gridCol w:w="124"/>
        <w:gridCol w:w="1381"/>
        <w:gridCol w:w="109"/>
        <w:gridCol w:w="109"/>
        <w:gridCol w:w="676"/>
        <w:gridCol w:w="154"/>
      </w:tblGrid>
      <w:tr>
        <w:trPr/>
        <w:tc>
          <w:tcPr>
            <w:tcW w:w="124"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283"/>
              <w:jc w:val="left"/>
              <w:rPr/>
            </w:pPr>
            <w:r>
              <w:rPr/>
              <w:t>Piper Sandler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6" w:type="dxa"/>
            <w:tcBorders/>
            <w:vAlign w:val="center"/>
          </w:tcPr>
          <w:p>
            <w:pPr>
              <w:pStyle w:val="TableContents"/>
              <w:bidi w:val="0"/>
              <w:spacing w:before="0" w:after="0"/>
              <w:jc w:val="right"/>
              <w:rPr/>
            </w:pPr>
            <w:r>
              <w:rPr/>
              <w:t>BTIG</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720" w:after="283"/>
        <w:ind w:left="1393" w:right="0" w:hanging="0"/>
        <w:jc w:val="center"/>
        <w:rPr>
          <w:rFonts w:ascii="Times New Roman;Times;serif" w:hAnsi="Times New Roman;Times;serif"/>
          <w:b/>
          <w:i/>
          <w:caps w:val="false"/>
          <w:smallCaps w:val="false"/>
          <w:color w:val="596E80"/>
          <w:sz w:val="20"/>
        </w:rPr>
      </w:pPr>
      <w:r>
        <w:rPr>
          <w:rFonts w:ascii="Times New Roman;Times;serif" w:hAnsi="Times New Roman;Times;serif"/>
          <w:b/>
          <w:i/>
          <w:caps w:val="false"/>
          <w:smallCaps w:val="false"/>
          <w:color w:val="596E80"/>
          <w:sz w:val="20"/>
        </w:rPr>
        <w:t>Lead Manager</w:t>
      </w:r>
      <w:r>
        <w:rPr>
          <w:rFonts w:ascii="Times New Roman;Times;serif" w:hAnsi="Times New Roman;Times;serif"/>
          <w:b/>
          <w:i/>
          <w:caps w:val="false"/>
          <w:smallCaps w:val="false"/>
          <w:color w:val="596E80"/>
          <w:spacing w:val="4"/>
          <w:sz w:val="2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596E80"/>
          <w:sz w:val="32"/>
        </w:rPr>
      </w:pPr>
      <w:r>
        <w:rPr>
          <w:rFonts w:ascii="Times New Roman;Times;serif" w:hAnsi="Times New Roman;Times;serif"/>
          <w:b/>
          <w:i w:val="false"/>
          <w:caps w:val="false"/>
          <w:smallCaps w:val="false"/>
          <w:color w:val="596E80"/>
          <w:sz w:val="32"/>
        </w:rPr>
        <w:t>Brookline Capital Markets,</w:t>
      </w:r>
    </w:p>
    <w:p>
      <w:pPr>
        <w:pStyle w:val="TextBody"/>
        <w:bidi w:val="0"/>
        <w:spacing w:lineRule="atLeast" w:line="240" w:before="557" w:after="437"/>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a division of Arcadia Securities, LLC</w:t>
      </w:r>
      <w:r>
        <w:rPr>
          <w:rFonts w:ascii="Times New Roman;Times;serif" w:hAnsi="Times New Roman;Times;serif"/>
          <w:b/>
          <w:i w:val="false"/>
          <w:caps w:val="false"/>
          <w:smallCaps w:val="false"/>
          <w:color w:val="596E80"/>
          <w:spacing w:val="4"/>
          <w:sz w:val="20"/>
        </w:rPr>
        <w:t xml:space="preserve"> </w:t>
      </w:r>
    </w:p>
    <w:p>
      <w:pPr>
        <w:pStyle w:val="TextBody"/>
        <w:bidi w:val="0"/>
        <w:spacing w:lineRule="atLeast" w:line="240" w:before="1440" w:after="283"/>
        <w:jc w:val="center"/>
        <w:rPr>
          <w:rFonts w:ascii="Times New Roman;Times;serif" w:hAnsi="Times New Roman;Times;serif"/>
          <w:b/>
          <w:i w:val="false"/>
          <w:caps w:val="false"/>
          <w:smallCaps w:val="false"/>
          <w:color w:val="596E80"/>
          <w:sz w:val="20"/>
        </w:rPr>
      </w:pPr>
      <w:r>
        <w:rPr>
          <w:rFonts w:ascii="Times New Roman;Times;serif" w:hAnsi="Times New Roman;Times;serif"/>
          <w:b/>
          <w:i w:val="false"/>
          <w:caps w:val="false"/>
          <w:smallCaps w:val="false"/>
          <w:color w:val="596E80"/>
          <w:sz w:val="20"/>
        </w:rPr>
        <w:t>August 12,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49989/000110465926094848/tm2622278d1_ex99-1.htm" TargetMode="External"/><Relationship Id="rId4" Type="http://schemas.openxmlformats.org/officeDocument/2006/relationships/hyperlink" Target="https://www.sec.gov/Archives/edgar/data/1649989/000110465926094848/tm2622278d1_ex99-1.htm" TargetMode="External"/><Relationship Id="rId5" Type="http://schemas.openxmlformats.org/officeDocument/2006/relationships/hyperlink" Target="https://www.sec.gov/Archives/edgar/data/1649989/000110465926094848/tm2622278d1_ex99-1.htm" TargetMode="External"/><Relationship Id="rId6" Type="http://schemas.openxmlformats.org/officeDocument/2006/relationships/hyperlink" Target="https://www.sec.gov/Archives/edgar/data/1649989/000110465926094848/tm2622278d1_ex99-1.htm" TargetMode="External"/><Relationship Id="rId7" Type="http://schemas.openxmlformats.org/officeDocument/2006/relationships/hyperlink" Target="https://www.sec.gov/Archives/edgar/data/1649989/000110465926094848/tm2622278d1_ex99-1.htm" TargetMode="External"/><Relationship Id="rId8" Type="http://schemas.openxmlformats.org/officeDocument/2006/relationships/hyperlink" Target="http://www.sec.gov/ix?doc=/Archives/edgar/data/1649989/000110465925123264/otlk-20250930x10k.htm" TargetMode="External"/><Relationship Id="rId9" Type="http://schemas.openxmlformats.org/officeDocument/2006/relationships/hyperlink" Target="http://www.sec.gov/ix?doc=/Archives/edgar/data/1649989/000114036126002406/ny20058729x1_def14a.htm" TargetMode="External"/><Relationship Id="rId10" Type="http://schemas.openxmlformats.org/officeDocument/2006/relationships/hyperlink" Target="http://www.sec.gov/ix?doc=/Archives/edgar/data/1649989/000110465926016554/otlk-20251231x10q.htm" TargetMode="External"/><Relationship Id="rId11" Type="http://schemas.openxmlformats.org/officeDocument/2006/relationships/hyperlink" Target="http://www.sec.gov/ix?doc=/Archives/edgar/data/1649989/000110465926062632/otlk-20260331x10q.htm" TargetMode="External"/><Relationship Id="rId12" Type="http://schemas.openxmlformats.org/officeDocument/2006/relationships/hyperlink" Target="http://www.sec.gov/ix?doc=/Archives/edgar/data/1649989/000110465925105633/tm2530088d1_8k.htm" TargetMode="External"/><Relationship Id="rId13" Type="http://schemas.openxmlformats.org/officeDocument/2006/relationships/hyperlink" Target="http://www.sec.gov/ix?doc=/Archives/edgar/data/1649989/000110465925111316/tm2531109d1_8k.htm" TargetMode="External"/><Relationship Id="rId14" Type="http://schemas.openxmlformats.org/officeDocument/2006/relationships/hyperlink" Target="http://www.sec.gov/ix?doc=/Archives/edgar/data/1649989/000110465926000066/tm2534608d1_8k.htm" TargetMode="External"/><Relationship Id="rId15" Type="http://schemas.openxmlformats.org/officeDocument/2006/relationships/hyperlink" Target="http://www.sec.gov/ix?doc=/Archives/edgar/data/1649989/000110465926013470/tm265994d1_8k.htm" TargetMode="External"/><Relationship Id="rId16" Type="http://schemas.openxmlformats.org/officeDocument/2006/relationships/hyperlink" Target="http://www.sec.gov/ix?doc=/Archives/edgar/data/1649989/000110465926017118/tm266772d1_8k.htm" TargetMode="External"/><Relationship Id="rId17" Type="http://schemas.openxmlformats.org/officeDocument/2006/relationships/hyperlink" Target="http://www.sec.gov/ix?doc=/Archives/edgar/data/1649989/000110465926024189/tm268164d1_8k.htm" TargetMode="External"/><Relationship Id="rId18" Type="http://schemas.openxmlformats.org/officeDocument/2006/relationships/hyperlink" Target="http://www.sec.gov/ix?doc=/Archives/edgar/data/1649989/000110465926025893/tm268371d2_8k.htm" TargetMode="External"/><Relationship Id="rId19" Type="http://schemas.openxmlformats.org/officeDocument/2006/relationships/hyperlink" Target="http://www.sec.gov/ix?doc=/Archives/edgar/data/1649989/000110465926026465/tm268371d1_8k.htm" TargetMode="External"/><Relationship Id="rId20" Type="http://schemas.openxmlformats.org/officeDocument/2006/relationships/hyperlink" Target="http://www.sec.gov/ix?doc=/Archives/edgar/data/1649989/000110465926028103/tm268874d1_8k.htm" TargetMode="External"/><Relationship Id="rId21" Type="http://schemas.openxmlformats.org/officeDocument/2006/relationships/hyperlink" Target="http://www.sec.gov/ix?doc=/Archives/edgar/data/1649989/000110465926034601/tm269822d1_8k.htm" TargetMode="External"/><Relationship Id="rId22" Type="http://schemas.openxmlformats.org/officeDocument/2006/relationships/hyperlink" Target="http://www.sec.gov/ix?doc=/Archives/edgar/data/1649989/000110465926040387/tm2611268d1_8k.htm" TargetMode="External"/><Relationship Id="rId23" Type="http://schemas.openxmlformats.org/officeDocument/2006/relationships/hyperlink" Target="http://www.sec.gov/ix?doc=/Archives/edgar/data/1649989/000110465926046014/tm2612353d1_8k.htm" TargetMode="External"/><Relationship Id="rId24" Type="http://schemas.openxmlformats.org/officeDocument/2006/relationships/hyperlink" Target="http://www.sec.gov/ix?doc=/Archives/edgar/data/1649989/000110465926047741/tm2612578d1_8k.htm" TargetMode="External"/><Relationship Id="rId25" Type="http://schemas.openxmlformats.org/officeDocument/2006/relationships/hyperlink" Target="http://www.sec.gov/ix?doc=/Archives/edgar/data/1649989/000110465926060305/tm2614480d1_8k.htm" TargetMode="External"/><Relationship Id="rId26" Type="http://schemas.openxmlformats.org/officeDocument/2006/relationships/hyperlink" Target="http://www.sec.gov/ix?doc=/Archives/edgar/data/1649989/000110465926065992/tm2615583d1_8k.htm" TargetMode="External"/><Relationship Id="rId27" Type="http://schemas.openxmlformats.org/officeDocument/2006/relationships/hyperlink" Target="http://www.sec.gov/ix?doc=/Archives/edgar/data/1649989/000110465926067614/tm2615925d1_8k.htm" TargetMode="External"/><Relationship Id="rId28" Type="http://schemas.openxmlformats.org/officeDocument/2006/relationships/hyperlink" Target="http://www.sec.gov/ix?doc=/Archives/edgar/data/1649989/000110465926068306/tm2615979d1_8k.htm" TargetMode="External"/><Relationship Id="rId29" Type="http://schemas.openxmlformats.org/officeDocument/2006/relationships/hyperlink" Target="http://www.sec.gov/ix?doc=/Archives/edgar/data/1649989/000110465926068659/tm2616461d1_8k.htm" TargetMode="External"/><Relationship Id="rId30" Type="http://schemas.openxmlformats.org/officeDocument/2006/relationships/hyperlink" Target="http://www.sec.gov/ix?doc=/Archives/edgar/data/1649989/000110465926074346/tm2618010d1_8k.htm" TargetMode="External"/><Relationship Id="rId31" Type="http://schemas.openxmlformats.org/officeDocument/2006/relationships/hyperlink" Target="http://www.sec.gov/ix?doc=/Archives/edgar/data/1649989/000110465926078337/tm2619105d1_8k.htm" TargetMode="External"/><Relationship Id="rId32" Type="http://schemas.openxmlformats.org/officeDocument/2006/relationships/hyperlink" Target="http://www.sec.gov/ix?doc=/Archives/edgar/data/1649989/000110465926084242/tm2620677d1_8k.htm" TargetMode="External"/><Relationship Id="rId33" Type="http://schemas.openxmlformats.org/officeDocument/2006/relationships/hyperlink" Target="http://www.sec.gov/ix?doc=/Archives/edgar/data/1649989/000110465926086406/tm2621232d1_8k.htm" TargetMode="External"/><Relationship Id="rId34" Type="http://schemas.openxmlformats.org/officeDocument/2006/relationships/hyperlink" Target="http://www.sec.gov/ix?doc=/Archives/edgar/data/1649989/000110465926086685/tm2621316d1_8k.htm" TargetMode="External"/><Relationship Id="rId35" Type="http://schemas.openxmlformats.org/officeDocument/2006/relationships/hyperlink" Target="https://www.sec.gov/ix?doc=/Archives/edgar/data/1649989/000110465926094848/tm2622278d1_8k.htm" TargetMode="External"/><Relationship Id="rId36" Type="http://schemas.openxmlformats.org/officeDocument/2006/relationships/hyperlink" Target="http://www.sec.gov/Archives/edgar/data/1649989/000157104916014572/t1601167_8a.htm" TargetMode="External"/><Relationship Id="rId37" Type="http://schemas.openxmlformats.org/officeDocument/2006/relationships/hyperlink" Target="http://www.sec.gov/Archives/edgar/data/1649989/000157104916015100/t1601309_8a.htm" TargetMode="External"/><Relationship Id="rId38" Type="http://schemas.openxmlformats.org/officeDocument/2006/relationships/hyperlink" Target="http://www.sec.gov/Archives/edgar/data/1649989/000110465925123264/otlk-20250930xex4d1.htm" TargetMode="External"/><Relationship Id="rId39" Type="http://schemas.openxmlformats.org/officeDocument/2006/relationships/image" Target="media/image1.jpeg"/><Relationship Id="rId40" Type="http://schemas.openxmlformats.org/officeDocument/2006/relationships/hyperlink" Target="https://www.sec.gov/ix?doc=/Archives/edgar/data/1649989/000155837023020000/otlk-20230930x10k.htm" TargetMode="External"/><Relationship Id="rId41" Type="http://schemas.openxmlformats.org/officeDocument/2006/relationships/hyperlink" Target="http://www.sec.gov/ix?doc=/Archives/edgar/data/1649989/000155837023020000/otlk-20230930x10k.htm" TargetMode="External"/><Relationship Id="rId42" Type="http://schemas.openxmlformats.org/officeDocument/2006/relationships/hyperlink" Target="http://www.sec.gov/ix?doc=/Archives/edgar/data/1649989/000155837024000474/otlk-20230930x10ka.htm" TargetMode="External"/><Relationship Id="rId43" Type="http://schemas.openxmlformats.org/officeDocument/2006/relationships/hyperlink" Target="http://www.sec.gov/ix?doc=/Archives/edgar/data/1649989/000155837024001172/otlk-20231231x10q.htm" TargetMode="External"/><Relationship Id="rId44" Type="http://schemas.openxmlformats.org/officeDocument/2006/relationships/hyperlink" Target="http://www.sec.gov/ix?doc=/Archives/edgar/data/1649989/000110465923110537/tm2328605d1_8k.htm" TargetMode="External"/><Relationship Id="rId45" Type="http://schemas.openxmlformats.org/officeDocument/2006/relationships/hyperlink" Target="http://www.sec.gov/ix?doc=/Archives/edgar/data/1649989/000110465923113609/tm2329669d1_8k.htm" TargetMode="External"/><Relationship Id="rId46" Type="http://schemas.openxmlformats.org/officeDocument/2006/relationships/hyperlink" Target="http://www.sec.gov/ix?doc=/Archives/edgar/data/1649989/000110465923124025/tm2332305d1_8k.htm" TargetMode="External"/><Relationship Id="rId47" Type="http://schemas.openxmlformats.org/officeDocument/2006/relationships/hyperlink" Target="http://www.sec.gov/ix?doc=/Archives/edgar/data/1649989/000110465924006019/tm243921d1_8k.htm" TargetMode="External"/><Relationship Id="rId48" Type="http://schemas.openxmlformats.org/officeDocument/2006/relationships/hyperlink" Target="http://www.sec.gov/ix?doc=/Archives/edgar/data/1649989/000110465924031908/tm248235d1_8k.htm" TargetMode="External"/><Relationship Id="rId49" Type="http://schemas.openxmlformats.org/officeDocument/2006/relationships/hyperlink" Target="http://www.sec.gov/ix?doc=/Archives/edgar/data/1649989/000110465924035644/tm249047d1_8k.htm" TargetMode="External"/><Relationship Id="rId50" Type="http://schemas.openxmlformats.org/officeDocument/2006/relationships/hyperlink" Target="http://www.sec.gov/ix?doc=/Archives/edgar/data/1649989/000110465924039040/tm249829d1_8k.htm" TargetMode="External"/><Relationship Id="rId51" Type="http://schemas.openxmlformats.org/officeDocument/2006/relationships/hyperlink" Target="http://www.sec.gov/Archives/edgar/data/1649989/000157104916014572/t1601167_8a.htm" TargetMode="External"/><Relationship Id="rId52" Type="http://schemas.openxmlformats.org/officeDocument/2006/relationships/hyperlink" Target="http://www.sec.gov/Archives/edgar/data/1649989/000157104916015100/t1601309_8a.htm" TargetMode="External"/><Relationship Id="rId53" Type="http://schemas.openxmlformats.org/officeDocument/2006/relationships/hyperlink" Target="http://www.sec.gov/Archives/edgar/data/1649989/000155837023020000/otlk-20230930xex4d1.htm" TargetMode="External"/><Relationship Id="rId54" Type="http://schemas.openxmlformats.org/officeDocument/2006/relationships/image" Target="media/image1.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41646</Words>
  <Characters>219461</Characters>
  <CharactersWithSpaces>261990</CharactersWithSpaces>
  <Paragraphs>2356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