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Jahr Robert Charles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OUTLOOK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S. WOOD AVE, UNIT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ISELIN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Outlook Therapeutics, Inc.</w:t>
              </w:r>
            </w:hyperlink>
            <w:r>
              <w:rPr/>
              <w:t xml:space="preserve"> [ </w:t>
            </w:r>
            <w:r>
              <w:rPr>
                <w:rFonts w:ascii="Times;serif" w:hAnsi="Times;serif"/>
                <w:color w:val="0000FF"/>
                <w:sz w:val="24"/>
                <w:shd w:fill="FFFFFF" w:val="clear"/>
              </w:rPr>
              <w:t>OTLK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1.4304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07/21/2027</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was granted to Mr. Jahr on July 21, 2026, pursuant to the Issuer's 2024 Equity Incentive Plan and the Issuer's standard form of stock option agreement thereunder. The option vests and becomes exercisable in full on July 21, 2027, subject to Mr. Jahr's continuing service with the Issuer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Lawrence Kenyon,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07/23/2021</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76177" TargetMode="External"/><Relationship Id="rId5" Type="http://schemas.openxmlformats.org/officeDocument/2006/relationships/hyperlink" Target="http://www.sec.gov/cgi-bin/browse-edgar?action=getcompany&amp;CIK=000164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631</Words>
  <Characters>3437</Characters>
  <CharactersWithSpaces>3996</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