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center"/>
        <w:rPr>
          <w:bdr w:val="single" w:sz="16" w:space="1" w:color="000000"/>
        </w:rPr>
      </w:pPr>
      <w:bookmarkStart w:id="0" w:name="tm2626478d1_8k.htm"/>
      <w:bookmarkStart w:id="1" w:name="kstm2626478d1_8k"/>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b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C_edei--DocumentType_c20260925__20"/>
      <w:bookmarkEnd w:id="2"/>
      <w:r>
        <w:rPr>
          <w:rFonts w:ascii="Times New Roman;Times;Serif" w:hAnsi="Times New Roman;Times;Serif"/>
          <w:b/>
          <w:i w:val="false"/>
          <w:caps w:val="false"/>
          <w:smallCaps w:val="false"/>
          <w:sz w:val="28"/>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r>
        <w:rPr>
          <w:rFonts w:ascii="Times New Roman;Times;Serif" w:hAnsi="Times New Roman;Times;Serif"/>
          <w:b w:val="false"/>
          <w:i w:val="false"/>
          <w:caps w:val="false"/>
          <w:smallCaps w:val="false"/>
          <w:sz w:val="2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September 25,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D_edei--EntityRegistrantName_c2026"/>
      <w:bookmarkEnd w:id="4"/>
      <w:r>
        <w:rPr>
          <w:rFonts w:ascii="Times New Roman;Times;Serif" w:hAnsi="Times New Roman;Times;Serif"/>
          <w:b/>
          <w:i w:val="false"/>
          <w:caps w:val="false"/>
          <w:smallCaps w:val="false"/>
          <w:sz w:val="36"/>
        </w:rPr>
        <w:t>Outlook Therapeutics,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8490" w:type="dxa"/>
        <w:jc w:val="left"/>
        <w:tblInd w:w="0" w:type="dxa"/>
        <w:tblLayout w:type="fixed"/>
        <w:tblCellMar>
          <w:top w:w="0" w:type="dxa"/>
          <w:left w:w="0" w:type="dxa"/>
          <w:bottom w:w="0" w:type="dxa"/>
          <w:right w:w="0" w:type="dxa"/>
        </w:tblCellMar>
      </w:tblPr>
      <w:tblGrid>
        <w:gridCol w:w="2480"/>
        <w:gridCol w:w="2675"/>
        <w:gridCol w:w="3335"/>
      </w:tblGrid>
      <w:tr>
        <w:trPr/>
        <w:tc>
          <w:tcPr>
            <w:tcW w:w="2480" w:type="dxa"/>
            <w:tcBorders/>
            <w:vAlign w:val="center"/>
          </w:tcPr>
          <w:p>
            <w:pPr>
              <w:pStyle w:val="TableContents"/>
              <w:bidi w:val="0"/>
              <w:spacing w:before="0" w:after="283"/>
              <w:jc w:val="center"/>
              <w:rPr>
                <w:b/>
              </w:rPr>
            </w:pPr>
            <w:bookmarkStart w:id="5" w:name="xdx_909_edei--EntityIncorporationStateCo"/>
            <w:bookmarkEnd w:id="5"/>
            <w:r>
              <w:rPr>
                <w:b/>
              </w:rPr>
              <w:t>Delaware</w:t>
            </w:r>
          </w:p>
        </w:tc>
        <w:tc>
          <w:tcPr>
            <w:tcW w:w="2675" w:type="dxa"/>
            <w:tcBorders/>
            <w:vAlign w:val="center"/>
          </w:tcPr>
          <w:p>
            <w:pPr>
              <w:pStyle w:val="TableContents"/>
              <w:bidi w:val="0"/>
              <w:spacing w:before="0" w:after="283"/>
              <w:jc w:val="center"/>
              <w:rPr>
                <w:b/>
              </w:rPr>
            </w:pPr>
            <w:bookmarkStart w:id="6" w:name="xdx_906_edei--EntityFileNumber_c20260925"/>
            <w:bookmarkEnd w:id="6"/>
            <w:r>
              <w:rPr>
                <w:b/>
              </w:rPr>
              <w:t>001-37759</w:t>
            </w:r>
          </w:p>
        </w:tc>
        <w:tc>
          <w:tcPr>
            <w:tcW w:w="3335" w:type="dxa"/>
            <w:tcBorders/>
            <w:vAlign w:val="center"/>
          </w:tcPr>
          <w:p>
            <w:pPr>
              <w:pStyle w:val="TableContents"/>
              <w:bidi w:val="0"/>
              <w:spacing w:before="0" w:after="283"/>
              <w:jc w:val="center"/>
              <w:rPr>
                <w:b/>
              </w:rPr>
            </w:pPr>
            <w:bookmarkStart w:id="7" w:name="xdx_90D_edei--EntityTaxIdentificationNum"/>
            <w:bookmarkEnd w:id="7"/>
            <w:r>
              <w:rPr>
                <w:b/>
              </w:rPr>
              <w:t>38-3982704</w:t>
            </w:r>
          </w:p>
        </w:tc>
      </w:tr>
      <w:tr>
        <w:trPr/>
        <w:tc>
          <w:tcPr>
            <w:tcW w:w="2480" w:type="dxa"/>
            <w:tcBorders/>
            <w:vAlign w:val="center"/>
          </w:tcPr>
          <w:p>
            <w:pPr>
              <w:pStyle w:val="TableContents"/>
              <w:bidi w:val="0"/>
              <w:spacing w:before="0" w:after="283"/>
              <w:jc w:val="center"/>
              <w:rPr/>
            </w:pPr>
            <w:r>
              <w:rPr/>
              <w:t>(State or other jurisdiction</w:t>
              <w:br/>
              <w:t xml:space="preserve">of incorporation) </w:t>
            </w:r>
          </w:p>
        </w:tc>
        <w:tc>
          <w:tcPr>
            <w:tcW w:w="2675" w:type="dxa"/>
            <w:tcBorders/>
            <w:vAlign w:val="center"/>
          </w:tcPr>
          <w:p>
            <w:pPr>
              <w:pStyle w:val="TableContents"/>
              <w:bidi w:val="0"/>
              <w:spacing w:before="0" w:after="283"/>
              <w:jc w:val="center"/>
              <w:rPr/>
            </w:pPr>
            <w:r>
              <w:rPr/>
              <w:t xml:space="preserve">(Commission File Number) </w:t>
            </w:r>
          </w:p>
        </w:tc>
        <w:tc>
          <w:tcPr>
            <w:tcW w:w="3335" w:type="dxa"/>
            <w:tcBorders/>
            <w:vAlign w:val="center"/>
          </w:tcPr>
          <w:p>
            <w:pPr>
              <w:pStyle w:val="TableContents"/>
              <w:bidi w:val="0"/>
              <w:spacing w:before="0" w:after="283"/>
              <w:jc w:val="center"/>
              <w:rPr/>
            </w:pPr>
            <w:r>
              <w:rPr/>
              <w:t xml:space="preserve">(IRS Employer Identification No.) </w:t>
            </w:r>
          </w:p>
        </w:tc>
      </w:tr>
    </w:tbl>
    <w:p>
      <w:pPr>
        <w:pStyle w:val="TextBody"/>
        <w:bidi w:val="0"/>
        <w:spacing w:before="0" w:after="0"/>
        <w:jc w:val="center"/>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3815"/>
        <w:gridCol w:w="1145"/>
      </w:tblGrid>
      <w:tr>
        <w:trPr/>
        <w:tc>
          <w:tcPr>
            <w:tcW w:w="381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111 S. Wood Avenue,</w:t>
            </w:r>
            <w:r>
              <w:rPr>
                <w:rFonts w:ascii="Times New Roman;Times;Serif" w:hAnsi="Times New Roman;Times;Serif"/>
                <w:b w:val="false"/>
                <w:i w:val="false"/>
                <w:caps w:val="false"/>
                <w:smallCaps w:val="false"/>
                <w:sz w:val="20"/>
              </w:rPr>
              <w:br/>
            </w:r>
            <w:bookmarkStart w:id="9" w:name="xdx_907_edei--EntityAddressAddressLine2_"/>
            <w:bookmarkEnd w:id="9"/>
            <w:r>
              <w:rPr>
                <w:rFonts w:ascii="Times New Roman;Times;Serif" w:hAnsi="Times New Roman;Times;Serif"/>
                <w:b/>
                <w:i w:val="false"/>
                <w:caps w:val="false"/>
                <w:smallCaps w:val="false"/>
                <w:sz w:val="20"/>
              </w:rPr>
              <w:t>Unit #100</w:t>
            </w:r>
          </w:p>
          <w:p>
            <w:pPr>
              <w:pStyle w:val="TableContents"/>
              <w:bidi w:val="0"/>
              <w:spacing w:before="0" w:after="0"/>
              <w:jc w:val="center"/>
              <w:rPr>
                <w:rFonts w:ascii="Times New Roman;Times;Serif" w:hAnsi="Times New Roman;Times;Serif"/>
                <w:b/>
                <w:i w:val="false"/>
                <w:caps w:val="false"/>
                <w:smallCaps w:val="false"/>
                <w:sz w:val="20"/>
              </w:rPr>
            </w:pPr>
            <w:bookmarkStart w:id="10" w:name="xdx_909_edei--EntityAddressCityOrTown_c2"/>
            <w:bookmarkEnd w:id="10"/>
            <w:r>
              <w:rPr>
                <w:rFonts w:ascii="Times New Roman;Times;Serif" w:hAnsi="Times New Roman;Times;Serif"/>
                <w:b/>
                <w:i w:val="false"/>
                <w:caps w:val="false"/>
                <w:smallCaps w:val="false"/>
                <w:sz w:val="20"/>
              </w:rPr>
              <w:t xml:space="preserve">Iselin, </w:t>
            </w:r>
            <w:bookmarkStart w:id="11" w:name="xdx_90B_edei--EntityAddressStateOrProvin"/>
            <w:bookmarkEnd w:id="11"/>
            <w:r>
              <w:rPr>
                <w:rFonts w:ascii="Times New Roman;Times;Serif" w:hAnsi="Times New Roman;Times;Serif"/>
                <w:b/>
                <w:i w:val="false"/>
                <w:caps w:val="false"/>
                <w:smallCaps w:val="false"/>
                <w:sz w:val="20"/>
              </w:rPr>
              <w:t>New Jersey</w:t>
            </w:r>
          </w:p>
        </w:tc>
        <w:tc>
          <w:tcPr>
            <w:tcW w:w="1145" w:type="dxa"/>
            <w:tcBorders/>
            <w:vAlign w:val="center"/>
          </w:tcPr>
          <w:p>
            <w:pPr>
              <w:pStyle w:val="TableContents"/>
              <w:bidi w:val="0"/>
              <w:spacing w:before="0" w:after="283"/>
              <w:jc w:val="center"/>
              <w:rPr>
                <w:b/>
              </w:rPr>
            </w:pPr>
            <w:bookmarkStart w:id="12" w:name="xdx_901_edei--EntityAddressPostalZipCode"/>
            <w:bookmarkEnd w:id="12"/>
            <w:r>
              <w:rPr>
                <w:b/>
              </w:rPr>
              <w:t>08830</w:t>
            </w:r>
          </w:p>
        </w:tc>
      </w:tr>
      <w:tr>
        <w:trPr/>
        <w:tc>
          <w:tcPr>
            <w:tcW w:w="3815" w:type="dxa"/>
            <w:tcBorders/>
            <w:vAlign w:val="center"/>
          </w:tcPr>
          <w:p>
            <w:pPr>
              <w:pStyle w:val="TableContents"/>
              <w:bidi w:val="0"/>
              <w:spacing w:before="0" w:after="283"/>
              <w:jc w:val="center"/>
              <w:rPr/>
            </w:pPr>
            <w:r>
              <w:rPr/>
              <w:t xml:space="preserve">(Address of principal executive offices) </w:t>
            </w:r>
          </w:p>
        </w:tc>
        <w:tc>
          <w:tcPr>
            <w:tcW w:w="1145" w:type="dxa"/>
            <w:tcBorders/>
            <w:vAlign w:val="center"/>
          </w:tcPr>
          <w:p>
            <w:pPr>
              <w:pStyle w:val="TableContents"/>
              <w:bidi w:val="0"/>
              <w:spacing w:before="0" w:after="283"/>
              <w:jc w:val="center"/>
              <w:rPr/>
            </w:pPr>
            <w:r>
              <w:rPr/>
              <w:t xml:space="preserve">(Zip Code)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A_edei--CityAreaCode_c20260925__20"/>
      <w:bookmarkEnd w:id="13"/>
      <w:r>
        <w:rPr>
          <w:rFonts w:ascii="Times New Roman;Times;Serif" w:hAnsi="Times New Roman;Times;Serif"/>
          <w:b/>
          <w:i w:val="false"/>
          <w:caps w:val="false"/>
          <w:smallCaps w:val="false"/>
          <w:sz w:val="20"/>
        </w:rPr>
        <w:t xml:space="preserve">609) </w:t>
      </w:r>
      <w:bookmarkStart w:id="14" w:name="xdx_908_edei--LocalPhoneNumber_c20260925"/>
      <w:bookmarkEnd w:id="14"/>
      <w:r>
        <w:rPr>
          <w:rFonts w:ascii="Times New Roman;Times;Serif" w:hAnsi="Times New Roman;Times;Serif"/>
          <w:b/>
          <w:i w:val="false"/>
          <w:caps w:val="false"/>
          <w:smallCaps w:val="false"/>
          <w:sz w:val="20"/>
        </w:rPr>
        <w:t>619-3990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bookmarkStart w:id="15" w:name="xdx_90C_edei--WrittenCommunications_c202"/>
            <w:bookmarkEnd w:id="15"/>
            <w:r>
              <w:rPr/>
              <w:t xml:space="preserve">☐ </w:t>
            </w:r>
          </w:p>
        </w:tc>
        <w:tc>
          <w:tcPr>
            <w:tcW w:w="9906" w:type="dxa"/>
            <w:tcBorders/>
            <w:vAlign w:val="center"/>
          </w:tcPr>
          <w:p>
            <w:pPr>
              <w:pStyle w:val="TableContents"/>
              <w:bidi w:val="0"/>
              <w:spacing w:before="0" w:after="283"/>
              <w:jc w:val="left"/>
              <w:rPr/>
            </w:pPr>
            <w:r>
              <w:rPr/>
              <w:t xml:space="preserve">Written communications pursuant to Rule 425 under the Securities Act (17 CFR 230.425) </w:t>
            </w:r>
          </w:p>
        </w:tc>
      </w:tr>
      <w:tr>
        <w:trPr/>
        <w:tc>
          <w:tcPr>
            <w:tcW w:w="299"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left"/>
              <w:rPr/>
            </w:pPr>
            <w:r>
              <w:rPr/>
              <w:t> </w:t>
            </w:r>
          </w:p>
        </w:tc>
      </w:tr>
      <w:tr>
        <w:trPr/>
        <w:tc>
          <w:tcPr>
            <w:tcW w:w="299" w:type="dxa"/>
            <w:tcBorders/>
            <w:vAlign w:val="center"/>
          </w:tcPr>
          <w:p>
            <w:pPr>
              <w:pStyle w:val="TableContents"/>
              <w:bidi w:val="0"/>
              <w:spacing w:before="0" w:after="283"/>
              <w:jc w:val="left"/>
              <w:rPr/>
            </w:pPr>
            <w:bookmarkStart w:id="16" w:name="xdx_906_edei--SolicitingMaterial_c202609"/>
            <w:bookmarkEnd w:id="16"/>
            <w:r>
              <w:rPr/>
              <w:t xml:space="preserve">☐ </w:t>
            </w:r>
          </w:p>
        </w:tc>
        <w:tc>
          <w:tcPr>
            <w:tcW w:w="9906" w:type="dxa"/>
            <w:tcBorders/>
            <w:vAlign w:val="center"/>
          </w:tcPr>
          <w:p>
            <w:pPr>
              <w:pStyle w:val="TableContents"/>
              <w:bidi w:val="0"/>
              <w:spacing w:before="0" w:after="283"/>
              <w:jc w:val="left"/>
              <w:rPr/>
            </w:pPr>
            <w:r>
              <w:rPr/>
              <w:t xml:space="preserve">Soliciting material pursuant to Rule 14a-12 under the Exchange Act (17 CFR 240.14a-12) </w:t>
            </w:r>
          </w:p>
        </w:tc>
      </w:tr>
      <w:tr>
        <w:trPr/>
        <w:tc>
          <w:tcPr>
            <w:tcW w:w="299"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left"/>
              <w:rPr/>
            </w:pPr>
            <w:r>
              <w:rPr/>
              <w:t> </w:t>
            </w:r>
          </w:p>
        </w:tc>
      </w:tr>
      <w:tr>
        <w:trPr/>
        <w:tc>
          <w:tcPr>
            <w:tcW w:w="299" w:type="dxa"/>
            <w:tcBorders/>
            <w:vAlign w:val="center"/>
          </w:tcPr>
          <w:p>
            <w:pPr>
              <w:pStyle w:val="TableContents"/>
              <w:bidi w:val="0"/>
              <w:spacing w:before="0" w:after="283"/>
              <w:jc w:val="left"/>
              <w:rPr/>
            </w:pPr>
            <w:bookmarkStart w:id="17" w:name="xdx_901_edei--PreCommencementTenderOffer"/>
            <w:bookmarkEnd w:id="17"/>
            <w:r>
              <w:rPr/>
              <w:t xml:space="preserve">☐ </w:t>
            </w:r>
          </w:p>
        </w:tc>
        <w:tc>
          <w:tcPr>
            <w:tcW w:w="9906" w:type="dxa"/>
            <w:tcBorders/>
            <w:vAlign w:val="center"/>
          </w:tcPr>
          <w:p>
            <w:pPr>
              <w:pStyle w:val="TableContents"/>
              <w:bidi w:val="0"/>
              <w:spacing w:before="0" w:after="283"/>
              <w:jc w:val="left"/>
              <w:rPr/>
            </w:pPr>
            <w:r>
              <w:rPr/>
              <w:t xml:space="preserve">Pre-commencement communications pursuant to Rule 14d-2(b) under the Exchange Act (17 CFR 240.14d-2(b)) </w:t>
            </w:r>
          </w:p>
        </w:tc>
      </w:tr>
      <w:tr>
        <w:trPr/>
        <w:tc>
          <w:tcPr>
            <w:tcW w:w="299" w:type="dxa"/>
            <w:tcBorders/>
            <w:vAlign w:val="center"/>
          </w:tcPr>
          <w:p>
            <w:pPr>
              <w:pStyle w:val="TableContents"/>
              <w:bidi w:val="0"/>
              <w:spacing w:before="0" w:after="283"/>
              <w:jc w:val="left"/>
              <w:rPr/>
            </w:pPr>
            <w:r>
              <w:rPr/>
              <w:t> </w:t>
            </w:r>
          </w:p>
        </w:tc>
        <w:tc>
          <w:tcPr>
            <w:tcW w:w="9906" w:type="dxa"/>
            <w:tcBorders/>
            <w:vAlign w:val="center"/>
          </w:tcPr>
          <w:p>
            <w:pPr>
              <w:pStyle w:val="TableContents"/>
              <w:bidi w:val="0"/>
              <w:spacing w:before="0" w:after="283"/>
              <w:jc w:val="left"/>
              <w:rPr/>
            </w:pPr>
            <w:r>
              <w:rPr/>
              <w:t> </w:t>
            </w:r>
          </w:p>
        </w:tc>
      </w:tr>
      <w:tr>
        <w:trPr/>
        <w:tc>
          <w:tcPr>
            <w:tcW w:w="299" w:type="dxa"/>
            <w:tcBorders/>
            <w:vAlign w:val="center"/>
          </w:tcPr>
          <w:p>
            <w:pPr>
              <w:pStyle w:val="TableContents"/>
              <w:bidi w:val="0"/>
              <w:spacing w:before="0" w:after="283"/>
              <w:jc w:val="left"/>
              <w:rPr/>
            </w:pPr>
            <w:bookmarkStart w:id="18" w:name="xdx_90B_edei--PreCommencementIssuerTende"/>
            <w:bookmarkEnd w:id="18"/>
            <w:r>
              <w:rPr/>
              <w:t xml:space="preserve">☐ </w:t>
            </w:r>
          </w:p>
        </w:tc>
        <w:tc>
          <w:tcPr>
            <w:tcW w:w="9906" w:type="dxa"/>
            <w:tcBorders/>
            <w:vAlign w:val="center"/>
          </w:tcPr>
          <w:p>
            <w:pPr>
              <w:pStyle w:val="TableContents"/>
              <w:bidi w:val="0"/>
              <w:spacing w:before="0" w:after="283"/>
              <w:jc w:val="left"/>
              <w:rPr/>
            </w:pPr>
            <w:r>
              <w:rPr/>
              <w:t xml:space="preserve">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575" w:type="dxa"/>
        <w:jc w:val="left"/>
        <w:tblInd w:w="0" w:type="dxa"/>
        <w:tblLayout w:type="fixed"/>
        <w:tblCellMar>
          <w:top w:w="0" w:type="dxa"/>
          <w:left w:w="0" w:type="dxa"/>
          <w:bottom w:w="28" w:type="dxa"/>
          <w:right w:w="0" w:type="dxa"/>
        </w:tblCellMar>
      </w:tblPr>
      <w:tblGrid>
        <w:gridCol w:w="1940"/>
        <w:gridCol w:w="60"/>
        <w:gridCol w:w="1925"/>
        <w:gridCol w:w="60"/>
        <w:gridCol w:w="3590"/>
      </w:tblGrid>
      <w:tr>
        <w:trPr/>
        <w:tc>
          <w:tcPr>
            <w:tcW w:w="1940" w:type="dxa"/>
            <w:tcBorders>
              <w:bottom w:val="single" w:sz="8" w:space="0" w:color="000000"/>
            </w:tcBorders>
            <w:vAlign w:val="center"/>
          </w:tcPr>
          <w:p>
            <w:pPr>
              <w:pStyle w:val="TableContents"/>
              <w:bidi w:val="0"/>
              <w:spacing w:before="0" w:after="283"/>
              <w:jc w:val="center"/>
              <w:rPr>
                <w:b/>
                <w:i w:val="false"/>
                <w:caps w:val="false"/>
                <w:smallCaps w:val="false"/>
              </w:rPr>
            </w:pPr>
            <w:r>
              <w:rPr>
                <w:b/>
                <w:i w:val="false"/>
                <w:caps w:val="false"/>
                <w:smallCaps w:val="false"/>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25" w:type="dxa"/>
            <w:tcBorders>
              <w:bottom w:val="single" w:sz="8" w:space="0" w:color="000000"/>
            </w:tcBorders>
            <w:vAlign w:val="center"/>
          </w:tcPr>
          <w:p>
            <w:pPr>
              <w:pStyle w:val="TableContents"/>
              <w:bidi w:val="0"/>
              <w:spacing w:before="0" w:after="283"/>
              <w:jc w:val="center"/>
              <w:rPr>
                <w:b/>
                <w:i w:val="false"/>
                <w:caps w:val="false"/>
                <w:smallCaps w:val="false"/>
              </w:rPr>
            </w:pPr>
            <w:r>
              <w:rPr>
                <w:b/>
                <w:i w:val="false"/>
                <w:caps w:val="false"/>
                <w:smallCaps w:val="false"/>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b/>
                <w:i w:val="false"/>
                <w:caps w:val="false"/>
                <w:smallCaps w:val="false"/>
              </w:rPr>
            </w:pPr>
            <w:r>
              <w:rPr>
                <w:b/>
                <w:i w:val="false"/>
                <w:caps w:val="false"/>
                <w:smallCaps w:val="false"/>
              </w:rPr>
              <w:t>Name of Each Exchange on Which</w:t>
              <w:br/>
              <w:t>Registered</w:t>
            </w:r>
          </w:p>
        </w:tc>
      </w:tr>
      <w:tr>
        <w:trPr/>
        <w:tc>
          <w:tcPr>
            <w:tcW w:w="1940" w:type="dxa"/>
            <w:tcBorders/>
            <w:tcMar>
              <w:bottom w:w="0" w:type="dxa"/>
            </w:tcMar>
            <w:vAlign w:val="center"/>
          </w:tcPr>
          <w:p>
            <w:pPr>
              <w:pStyle w:val="TableContents"/>
              <w:bidi w:val="0"/>
              <w:spacing w:before="0" w:after="283"/>
              <w:jc w:val="center"/>
              <w:rPr/>
            </w:pPr>
            <w:bookmarkStart w:id="19" w:name="xdx_902_edei--Security12bTitle_c20260925"/>
            <w:bookmarkEnd w:id="19"/>
            <w:r>
              <w:rPr/>
              <w:t>Common Stock</w:t>
            </w:r>
          </w:p>
        </w:tc>
        <w:tc>
          <w:tcPr>
            <w:tcW w:w="60" w:type="dxa"/>
            <w:tcBorders/>
            <w:tcMar>
              <w:bottom w:w="0" w:type="dxa"/>
            </w:tcMar>
            <w:vAlign w:val="center"/>
          </w:tcPr>
          <w:p>
            <w:pPr>
              <w:pStyle w:val="TableContents"/>
              <w:bidi w:val="0"/>
              <w:spacing w:before="0" w:after="283"/>
              <w:jc w:val="center"/>
              <w:rPr/>
            </w:pPr>
            <w:r>
              <w:rPr/>
              <w:t> </w:t>
            </w:r>
          </w:p>
        </w:tc>
        <w:tc>
          <w:tcPr>
            <w:tcW w:w="1925" w:type="dxa"/>
            <w:tcBorders/>
            <w:tcMar>
              <w:bottom w:w="0" w:type="dxa"/>
            </w:tcMar>
            <w:vAlign w:val="center"/>
          </w:tcPr>
          <w:p>
            <w:pPr>
              <w:pStyle w:val="TableContents"/>
              <w:bidi w:val="0"/>
              <w:spacing w:before="0" w:after="283"/>
              <w:jc w:val="center"/>
              <w:rPr/>
            </w:pPr>
            <w:bookmarkStart w:id="20" w:name="xdx_90E_edei--TradingSymbol_c20260925__2"/>
            <w:bookmarkEnd w:id="20"/>
            <w:r>
              <w:rPr/>
              <w:t>OTLK</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pPr>
            <w:bookmarkStart w:id="21" w:name="xdx_905_edei--SecurityExchangeName_c2026"/>
            <w:bookmarkEnd w:id="21"/>
            <w:r>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9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875"/>
        <w:gridCol w:w="8285"/>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3.01.</w:t>
            </w:r>
          </w:p>
        </w:tc>
        <w:tc>
          <w:tcPr>
            <w:tcW w:w="8285" w:type="dxa"/>
            <w:tcBorders/>
            <w:vAlign w:val="center"/>
          </w:tcPr>
          <w:p>
            <w:pPr>
              <w:pStyle w:val="TableContents"/>
              <w:bidi w:val="0"/>
              <w:spacing w:before="0" w:after="283"/>
              <w:jc w:val="both"/>
              <w:rPr>
                <w:sz w:val="20"/>
              </w:rPr>
            </w:pPr>
            <w:r>
              <w:rPr>
                <w:rFonts w:ascii="Times New Roman;Times;Serif" w:hAnsi="Times New Roman;Times;Serif"/>
                <w:b/>
                <w:color w:val="212529"/>
                <w:sz w:val="20"/>
                <w:shd w:fill="FFFFFF" w:val="clear"/>
              </w:rPr>
              <w:t>Notice of Delisting or Failure to Satisfy a Continued Listing Rule or Standard; Transfer of Listing</w:t>
            </w:r>
            <w:r>
              <w:rPr>
                <w:color w:val="212529"/>
                <w:sz w:val="20"/>
                <w:shd w:fill="FFFFFF" w:val="clea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2026, Outlook Therapeutics, Inc., a Delaware corporation (the “Company”), received a letter from the Listing Qualifications Staff (the “Nasdaq Staff”) of The Nasdaq Stock Market LLC (“Nasdaq”) notifying the Company that for the last 30 consecutive business days, the bid price of the Company’s common stock had closed below $1.00 per share, the minimum closing bid price required by the continued listing requirements of Nasdaq Listing Rule 5550(a)(2).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notification received has no immediate effect on the listing of the Company’s common stock on the Nasdaq Capital Market. In accordance with Nasdaq Listing Rule 5810(c)(3)(A), the Company has 180 calendar days, or until March 24, 2027 (the “Compliance Date”), to regain compliance with the minimum bid price requirement. To regain compliance, the closing bid price of the Company’s common stock must be at least $1.00 per share for a minimum of ten consecutive business days before the Compliance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Company’s common stock does not achieve compliance by the Compliance Date, the Company may be eligible for an additional 180-day period to regain compliance if it meets the continued listing requirement for market value of publicly held shares and all other initial listing standards, with the exception of the bid price requirement, and provides written notice to Nasdaq of its intention to cure the deficiency during the second compliance period, by effecting a reverse stock split, if necessary. However, if it appears to the Nasdaq Staff that the Company will not be able to cure the deficiency, or if the Company is otherwise not eligible for the additional compliance period, and the Company does not regain compliance by the Compliance Date, the Nasdaq Capital Market will provide written notification to the Company that its common stock is subject to delisting. At that time, the Company may appeal the delisting determination to a hearings panel pursuant to the procedures set forth in the applicable Nasdaq listing rules. However, there can be no assurance that, if the Company does appeal the delisting determination by Nasdaq to the panel, such appeal would be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actively monitor the closing bid price of its common stock between now and the Compliance Date and will evaluate available options to resolve the deficiency and regain compliance with the minimum bid price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274" w:type="dxa"/>
        <w:jc w:val="left"/>
        <w:tblInd w:w="0" w:type="dxa"/>
        <w:tblLayout w:type="fixed"/>
        <w:tblCellMar>
          <w:top w:w="0" w:type="dxa"/>
          <w:left w:w="0" w:type="dxa"/>
          <w:bottom w:w="0" w:type="dxa"/>
          <w:right w:w="0" w:type="dxa"/>
        </w:tblCellMar>
      </w:tblPr>
      <w:tblGrid>
        <w:gridCol w:w="2510"/>
        <w:gridCol w:w="387"/>
        <w:gridCol w:w="2377"/>
      </w:tblGrid>
      <w:tr>
        <w:trPr/>
        <w:tc>
          <w:tcPr>
            <w:tcW w:w="2510"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b/>
              </w:rPr>
            </w:pPr>
            <w:r>
              <w:rPr>
                <w:b/>
              </w:rPr>
              <w:t>Outlook Therapeutics, Inc.</w:t>
            </w:r>
          </w:p>
        </w:tc>
      </w:tr>
      <w:tr>
        <w:trPr/>
        <w:tc>
          <w:tcPr>
            <w:tcW w:w="2510"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Date: September 30, 2026</w:t>
            </w:r>
          </w:p>
        </w:tc>
        <w:tc>
          <w:tcPr>
            <w:tcW w:w="387" w:type="dxa"/>
            <w:tcBorders/>
            <w:vAlign w:val="center"/>
          </w:tcPr>
          <w:p>
            <w:pPr>
              <w:pStyle w:val="TableContents"/>
              <w:bidi w:val="0"/>
              <w:spacing w:before="0" w:after="283"/>
              <w:jc w:val="left"/>
              <w:rPr/>
            </w:pPr>
            <w:r>
              <w:rPr/>
              <w:t>By:</w:t>
            </w:r>
          </w:p>
        </w:tc>
        <w:tc>
          <w:tcPr>
            <w:tcW w:w="2377" w:type="dxa"/>
            <w:tcBorders>
              <w:bottom w:val="single" w:sz="8" w:space="0" w:color="000000"/>
            </w:tcBorders>
            <w:tcMar>
              <w:bottom w:w="28" w:type="dxa"/>
            </w:tcMar>
            <w:vAlign w:val="center"/>
          </w:tcPr>
          <w:p>
            <w:pPr>
              <w:pStyle w:val="TableContents"/>
              <w:bidi w:val="0"/>
              <w:spacing w:before="0" w:after="283"/>
              <w:jc w:val="left"/>
              <w:rPr/>
            </w:pPr>
            <w:r>
              <w:rPr/>
              <w:t>/s/ Kevin Lundquist</w:t>
            </w:r>
          </w:p>
        </w:tc>
      </w:tr>
      <w:tr>
        <w:trPr/>
        <w:tc>
          <w:tcPr>
            <w:tcW w:w="2510"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pPr>
            <w:r>
              <w:rPr/>
              <w:t> </w:t>
            </w:r>
          </w:p>
        </w:tc>
        <w:tc>
          <w:tcPr>
            <w:tcW w:w="2377" w:type="dxa"/>
            <w:tcBorders/>
            <w:vAlign w:val="center"/>
          </w:tcPr>
          <w:p>
            <w:pPr>
              <w:pStyle w:val="TableContents"/>
              <w:bidi w:val="0"/>
              <w:spacing w:before="0" w:after="283"/>
              <w:jc w:val="left"/>
              <w:rPr/>
            </w:pPr>
            <w:r>
              <w:rPr/>
              <w:t>Kevin Lundquist</w:t>
            </w:r>
          </w:p>
        </w:tc>
      </w:tr>
      <w:tr>
        <w:trPr/>
        <w:tc>
          <w:tcPr>
            <w:tcW w:w="2510"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pPr>
            <w:r>
              <w:rPr/>
              <w:t> </w:t>
            </w:r>
          </w:p>
        </w:tc>
        <w:tc>
          <w:tcPr>
            <w:tcW w:w="2377" w:type="dxa"/>
            <w:tcBorders/>
            <w:vAlign w:val="center"/>
          </w:tcPr>
          <w:p>
            <w:pPr>
              <w:pStyle w:val="TableContents"/>
              <w:bidi w:val="0"/>
              <w:spacing w:before="0" w:after="283"/>
              <w:jc w:val="left"/>
              <w:rPr>
                <w:i/>
              </w:rPr>
            </w:pPr>
            <w:r>
              <w:rPr>
                <w:i/>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736</Words>
  <Characters>3971</Characters>
  <CharactersWithSpaces>4719</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