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KENYON LAWRENCE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OUTLOOK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S. WOOD AVE, UNIT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ISELIN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Outlook Therapeutics, Inc.</w:t>
              </w:r>
            </w:hyperlink>
            <w:r>
              <w:rPr/>
              <w:t xml:space="preserve"> [ </w:t>
            </w:r>
            <w:r>
              <w:rPr>
                <w:rFonts w:ascii="Times;serif" w:hAnsi="Times;serif"/>
                <w:color w:val="0000FF"/>
                <w:sz w:val="24"/>
                <w:shd w:fill="FFFFFF" w:val="clear"/>
              </w:rPr>
              <w:t>OTLK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1.4304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210,078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07/21/2027</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to Mr. Kenyon on July 21, 2026, pursuant to the Issuer's 2024 Equity Incentive Plan and the Issuer's standard form of stock option agreement thereunder. The option vests and becomes exercisable in full on July 21, 2027, subject to Mr. Kenyon's continuing service with the Issuer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Lawrence Kenyon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07/23/2021</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0484" TargetMode="External"/><Relationship Id="rId5" Type="http://schemas.openxmlformats.org/officeDocument/2006/relationships/hyperlink" Target="http://www.sec.gov/cgi-bin/browse-edgar?action=getcompany&amp;CIK=000164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3422</Characters>
  <CharactersWithSpaces>3980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